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3A" w:rsidRPr="00147DA7" w:rsidRDefault="0053133A" w:rsidP="00505A62">
      <w:pPr>
        <w:jc w:val="center"/>
        <w:rPr>
          <w:b/>
          <w:i/>
        </w:rPr>
      </w:pPr>
      <w:r w:rsidRPr="00147DA7">
        <w:rPr>
          <w:b/>
          <w:i/>
        </w:rPr>
        <w:t xml:space="preserve">Wykaz zmian do </w:t>
      </w:r>
      <w:r>
        <w:rPr>
          <w:b/>
          <w:i/>
        </w:rPr>
        <w:t>Regulaminu konkursu nr RPLU.07.01</w:t>
      </w:r>
      <w:r w:rsidRPr="00004C96">
        <w:rPr>
          <w:b/>
          <w:i/>
        </w:rPr>
        <w:t>.00-IZ.00-06-00</w:t>
      </w:r>
      <w:r>
        <w:rPr>
          <w:b/>
          <w:i/>
        </w:rPr>
        <w:t>2</w:t>
      </w:r>
      <w:r w:rsidRPr="00004C96">
        <w:rPr>
          <w:b/>
          <w:i/>
        </w:rPr>
        <w:t>/15</w:t>
      </w:r>
    </w:p>
    <w:p w:rsidR="0053133A" w:rsidRDefault="0053133A" w:rsidP="00505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817"/>
        <w:gridCol w:w="3931"/>
        <w:gridCol w:w="3868"/>
        <w:gridCol w:w="2849"/>
      </w:tblGrid>
      <w:tr w:rsidR="0053133A" w:rsidRPr="002E6073" w:rsidTr="002E6073">
        <w:trPr>
          <w:trHeight w:val="416"/>
        </w:trPr>
        <w:tc>
          <w:tcPr>
            <w:tcW w:w="529" w:type="dxa"/>
            <w:shd w:val="clear" w:color="auto" w:fill="E2EFD9"/>
            <w:vAlign w:val="center"/>
          </w:tcPr>
          <w:p w:rsidR="0053133A" w:rsidRPr="002E6073" w:rsidRDefault="0053133A" w:rsidP="002E6073">
            <w:pPr>
              <w:jc w:val="center"/>
              <w:rPr>
                <w:b/>
                <w:i/>
              </w:rPr>
            </w:pPr>
            <w:r w:rsidRPr="002E6073">
              <w:rPr>
                <w:b/>
                <w:i/>
              </w:rPr>
              <w:t>Lp.</w:t>
            </w:r>
          </w:p>
        </w:tc>
        <w:tc>
          <w:tcPr>
            <w:tcW w:w="2817" w:type="dxa"/>
            <w:shd w:val="clear" w:color="auto" w:fill="E2EFD9"/>
            <w:vAlign w:val="center"/>
          </w:tcPr>
          <w:p w:rsidR="0053133A" w:rsidRPr="002E6073" w:rsidRDefault="0053133A" w:rsidP="002E6073">
            <w:pPr>
              <w:jc w:val="center"/>
              <w:rPr>
                <w:b/>
                <w:i/>
              </w:rPr>
            </w:pPr>
            <w:r w:rsidRPr="002E6073">
              <w:rPr>
                <w:b/>
                <w:i/>
              </w:rPr>
              <w:t>Rozdział/Punkt/Podpunkt</w:t>
            </w:r>
          </w:p>
        </w:tc>
        <w:tc>
          <w:tcPr>
            <w:tcW w:w="3931" w:type="dxa"/>
            <w:shd w:val="clear" w:color="auto" w:fill="E2EFD9"/>
            <w:vAlign w:val="center"/>
          </w:tcPr>
          <w:p w:rsidR="0053133A" w:rsidRPr="002E6073" w:rsidRDefault="0053133A" w:rsidP="00A926E6">
            <w:pPr>
              <w:rPr>
                <w:b/>
                <w:i/>
              </w:rPr>
            </w:pPr>
            <w:r w:rsidRPr="002E6073">
              <w:rPr>
                <w:b/>
                <w:i/>
              </w:rPr>
              <w:t>Przed zmianą</w:t>
            </w:r>
          </w:p>
        </w:tc>
        <w:tc>
          <w:tcPr>
            <w:tcW w:w="3868" w:type="dxa"/>
            <w:shd w:val="clear" w:color="auto" w:fill="E2EFD9"/>
            <w:vAlign w:val="center"/>
          </w:tcPr>
          <w:p w:rsidR="0053133A" w:rsidRPr="002E6073" w:rsidRDefault="0053133A" w:rsidP="002E6073">
            <w:pPr>
              <w:jc w:val="center"/>
              <w:rPr>
                <w:b/>
                <w:i/>
              </w:rPr>
            </w:pPr>
            <w:r w:rsidRPr="002E6073">
              <w:rPr>
                <w:b/>
                <w:i/>
              </w:rPr>
              <w:t>Po zmianie</w:t>
            </w:r>
          </w:p>
        </w:tc>
        <w:tc>
          <w:tcPr>
            <w:tcW w:w="2849" w:type="dxa"/>
            <w:shd w:val="clear" w:color="auto" w:fill="E2EFD9"/>
            <w:vAlign w:val="center"/>
          </w:tcPr>
          <w:p w:rsidR="0053133A" w:rsidRPr="002E6073" w:rsidRDefault="0053133A" w:rsidP="002E6073">
            <w:pPr>
              <w:jc w:val="center"/>
              <w:rPr>
                <w:b/>
                <w:i/>
              </w:rPr>
            </w:pPr>
            <w:r w:rsidRPr="002E6073">
              <w:rPr>
                <w:b/>
                <w:i/>
              </w:rPr>
              <w:t>Uzasadnienie</w:t>
            </w:r>
          </w:p>
        </w:tc>
      </w:tr>
      <w:tr w:rsidR="0053133A" w:rsidRPr="002E6073" w:rsidTr="002E6073">
        <w:tc>
          <w:tcPr>
            <w:tcW w:w="529" w:type="dxa"/>
          </w:tcPr>
          <w:p w:rsidR="0053133A" w:rsidRPr="002E6073" w:rsidRDefault="0053133A" w:rsidP="00A926E6">
            <w:r w:rsidRPr="002E6073">
              <w:t>1.</w:t>
            </w:r>
          </w:p>
        </w:tc>
        <w:tc>
          <w:tcPr>
            <w:tcW w:w="2817" w:type="dxa"/>
          </w:tcPr>
          <w:p w:rsidR="0053133A" w:rsidRPr="002E6073" w:rsidRDefault="0053133A" w:rsidP="00A926E6">
            <w:r w:rsidRPr="002E6073">
              <w:t xml:space="preserve">Rozdział III: </w:t>
            </w:r>
            <w:r w:rsidRPr="002E6073">
              <w:rPr>
                <w:i/>
              </w:rPr>
              <w:t>Informacje o konkursie</w:t>
            </w:r>
            <w:r w:rsidRPr="002E6073">
              <w:t>, Punkt  3.5.</w:t>
            </w:r>
            <w:r w:rsidRPr="002E6073">
              <w:rPr>
                <w:i/>
              </w:rPr>
              <w:t>Termin, forma i miejsce składania wniosków o dofinansowanie</w:t>
            </w:r>
            <w:r w:rsidRPr="002E6073">
              <w:t>, Podpunkt 4.</w:t>
            </w:r>
          </w:p>
          <w:p w:rsidR="0053133A" w:rsidRPr="002E6073" w:rsidRDefault="0053133A" w:rsidP="00A926E6"/>
        </w:tc>
        <w:tc>
          <w:tcPr>
            <w:tcW w:w="3931" w:type="dxa"/>
          </w:tcPr>
          <w:p w:rsidR="0053133A" w:rsidRPr="002E6073" w:rsidRDefault="0053133A" w:rsidP="002E6073">
            <w:pPr>
              <w:spacing w:after="120"/>
              <w:jc w:val="both"/>
            </w:pPr>
            <w:r w:rsidRPr="002E6073">
              <w:t xml:space="preserve">Wnioski o dofinansowanie projektu należy przesyłać za pośrednictwem LSI2014 w terminie od dnia 21 grudnia 2015 r. do dnia 29 stycznia 2016 r. </w:t>
            </w:r>
          </w:p>
          <w:p w:rsidR="0053133A" w:rsidRPr="002E6073" w:rsidRDefault="0053133A" w:rsidP="00A926E6"/>
        </w:tc>
        <w:tc>
          <w:tcPr>
            <w:tcW w:w="3868" w:type="dxa"/>
          </w:tcPr>
          <w:p w:rsidR="0053133A" w:rsidRPr="002E6073" w:rsidRDefault="0053133A" w:rsidP="002E6073">
            <w:pPr>
              <w:spacing w:after="120"/>
              <w:jc w:val="both"/>
            </w:pPr>
            <w:r w:rsidRPr="002E6073">
              <w:t xml:space="preserve">Wnioski o dofinansowanie projektu należy przesyłać za pośrednictwem LSI2014 w terminie od dnia 31 grudnia 2015 r. do dnia 29 stycznia 2016 r. </w:t>
            </w:r>
          </w:p>
          <w:p w:rsidR="0053133A" w:rsidRPr="002E6073" w:rsidRDefault="0053133A" w:rsidP="00A926E6"/>
        </w:tc>
        <w:tc>
          <w:tcPr>
            <w:tcW w:w="2849" w:type="dxa"/>
          </w:tcPr>
          <w:p w:rsidR="0053133A" w:rsidRPr="002E6073" w:rsidRDefault="0053133A" w:rsidP="00A926E6">
            <w:r w:rsidRPr="002E6073">
              <w:t>W związku ze zmianą w trybie obiegowym kryteriów do działania 7.1 projekty lokalne zachodzi potrzeba przesunięcia terminu uruchomienia naboru.</w:t>
            </w:r>
          </w:p>
        </w:tc>
      </w:tr>
      <w:tr w:rsidR="0053133A" w:rsidRPr="002E6073" w:rsidTr="002E6073">
        <w:trPr>
          <w:trHeight w:val="2820"/>
        </w:trPr>
        <w:tc>
          <w:tcPr>
            <w:tcW w:w="529" w:type="dxa"/>
          </w:tcPr>
          <w:p w:rsidR="0053133A" w:rsidRPr="002E6073" w:rsidRDefault="0053133A" w:rsidP="00A926E6">
            <w:r w:rsidRPr="002E6073">
              <w:t xml:space="preserve">2. </w:t>
            </w:r>
          </w:p>
        </w:tc>
        <w:tc>
          <w:tcPr>
            <w:tcW w:w="2817" w:type="dxa"/>
          </w:tcPr>
          <w:p w:rsidR="0053133A" w:rsidRPr="002E6073" w:rsidRDefault="0053133A" w:rsidP="0047415E">
            <w:r w:rsidRPr="002E6073">
              <w:t>Rozdział V</w:t>
            </w:r>
            <w:r w:rsidRPr="002E6073">
              <w:rPr>
                <w:i/>
              </w:rPr>
              <w:t>: Zasady finansowania projektu</w:t>
            </w:r>
            <w:r w:rsidRPr="002E6073">
              <w:t xml:space="preserve"> , Punkt  5.1. </w:t>
            </w:r>
            <w:r w:rsidRPr="002E6073">
              <w:rPr>
                <w:i/>
              </w:rPr>
              <w:t>Wkład własny, projekty generujące dochód oraz sposób obliczania luki finansowej</w:t>
            </w:r>
            <w:r w:rsidRPr="002E6073">
              <w:t>, Podpunkt 1.</w:t>
            </w:r>
          </w:p>
        </w:tc>
        <w:tc>
          <w:tcPr>
            <w:tcW w:w="3931" w:type="dxa"/>
          </w:tcPr>
          <w:p w:rsidR="0053133A" w:rsidRPr="002E6073" w:rsidRDefault="0053133A" w:rsidP="002E6073">
            <w:pPr>
              <w:widowControl w:val="0"/>
              <w:snapToGrid w:val="0"/>
              <w:spacing w:after="120"/>
              <w:jc w:val="both"/>
            </w:pPr>
            <w:r w:rsidRPr="002E6073">
              <w:t xml:space="preserve">Maksymalny % poziom dofinansowania projektu z EFRR: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ind w:left="227" w:hanging="227"/>
              <w:jc w:val="both"/>
            </w:pPr>
            <w:r w:rsidRPr="002E6073">
              <w:t>projekty nieobjęte pomocą publiczną: 85% wydatków kwalifikowanych (zgodnie z luką finansową tam gdzie dotyczy).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120"/>
              <w:ind w:left="227" w:hanging="227"/>
              <w:jc w:val="both"/>
            </w:pPr>
            <w:r w:rsidRPr="002E6073">
              <w:t>projekty objęte pomocą publiczną: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3"/>
              </w:numPr>
              <w:snapToGrid w:val="0"/>
              <w:spacing w:after="120"/>
              <w:ind w:left="369" w:hanging="142"/>
              <w:jc w:val="both"/>
            </w:pPr>
            <w:r w:rsidRPr="002E6073">
              <w:t xml:space="preserve">  W przypadku schematu pomocowego, o którym mowa w rozdziale 5.3 pkt 1 w przypadku pomocy inwestycyjnej kwota pomocy nie przekracza różnicy między kosztami kwalifikowanymi, a zyskiem operacyjnym z inwestycji. Zysk operacyjny odlicza się od kosztów kwalifikowanych ex ante, na podstawie rozsądnych prognoz, albo przy użyciu mechanizmu wycofania</w:t>
            </w:r>
            <w:r w:rsidRPr="002E6073">
              <w:rPr>
                <w:rStyle w:val="FootnoteReference"/>
              </w:rPr>
              <w:footnoteReference w:id="1"/>
            </w:r>
            <w:r w:rsidRPr="002E6073">
              <w:t>. Operator infrastruktury ma prawo zatrzymać rozsądny zysk</w:t>
            </w:r>
            <w:r w:rsidRPr="002E6073">
              <w:rPr>
                <w:rStyle w:val="FootnoteReference"/>
              </w:rPr>
              <w:footnoteReference w:id="2"/>
            </w:r>
            <w:r w:rsidRPr="002E6073">
              <w:t xml:space="preserve"> przez odnośny okres</w:t>
            </w:r>
            <w:r w:rsidRPr="002E6073">
              <w:rPr>
                <w:rStyle w:val="FootnoteReference"/>
              </w:rPr>
              <w:footnoteReference w:id="3"/>
            </w:r>
            <w:r w:rsidRPr="002E6073">
              <w:t xml:space="preserve">.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3"/>
              </w:numPr>
              <w:snapToGrid w:val="0"/>
              <w:spacing w:after="120"/>
              <w:ind w:left="510" w:hanging="283"/>
              <w:jc w:val="both"/>
            </w:pPr>
            <w:r w:rsidRPr="002E6073">
              <w:t>w przypadku schematu pomocowego, o którym mowa w rozdziale 5.3 pkt 1 jeśli pomoc nie przekracza 1 mln EUR, maksymalna kwota pomocy  wynosi 80 % kosztów kwalifikowanych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3"/>
              </w:numPr>
              <w:snapToGrid w:val="0"/>
              <w:spacing w:after="120"/>
              <w:ind w:left="510" w:hanging="283"/>
              <w:jc w:val="both"/>
            </w:pPr>
            <w:r w:rsidRPr="002E6073">
              <w:t>w przypadku schematu pomocowego, o którym mowa w rozdziale 5.3 pkt 2 kwota pomocy nie przekracza różnicy między kosztami kwalifikowanymi, a zyskiem operacyjnym z inwestycji. Zysk operacyjny odlicza się od kosztów kwalifikowanych ex ante, na podstawie rozsądnych prognoz, albo przy użyciu mechanizmu wycofania</w:t>
            </w:r>
          </w:p>
          <w:p w:rsidR="0053133A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120"/>
              <w:ind w:left="369" w:hanging="369"/>
              <w:jc w:val="both"/>
            </w:pPr>
            <w:r w:rsidRPr="002E6073">
              <w:t>W przypadku pomocy nie przekraczającej 1 mln EUR, maksymalna kwota pomocy  wynosi 80 % kosztów kwalifikowanych.</w:t>
            </w:r>
          </w:p>
          <w:p w:rsidR="0053133A" w:rsidRPr="00FB0EB1" w:rsidRDefault="0053133A" w:rsidP="005E0110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footnoteRef/>
            </w:r>
            <w:r w:rsidRPr="00FB0EB1">
              <w:rPr>
                <w:i/>
                <w:sz w:val="18"/>
                <w:szCs w:val="18"/>
              </w:rPr>
              <w:t xml:space="preserve"> Podstawowym celem mechanizmu wycofania jest zapewnienie, że wybrany operator nie uzyska nadmiernej korzyści w związku z realizacją Projektu (która w konsekwencji może stanowić niedozwoloną pomoc publiczną). Są to różnego rodzaju mechanizmy stosowane i zapisane w umowie z operatorem w celu uzyskania ww. zapewnienia</w:t>
            </w:r>
          </w:p>
          <w:p w:rsidR="0053133A" w:rsidRPr="00FB0EB1" w:rsidRDefault="0053133A" w:rsidP="005E0110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t>2</w:t>
            </w:r>
            <w:r w:rsidRPr="00FB0EB1">
              <w:rPr>
                <w:i/>
                <w:sz w:val="18"/>
                <w:szCs w:val="18"/>
              </w:rPr>
              <w:t xml:space="preserve"> Zgodnie z Rozporządzeniem  651/2014 rozsądny zysk ustala się w odniesieniu do typowego zysku dla danego sektora</w:t>
            </w:r>
          </w:p>
          <w:p w:rsidR="0053133A" w:rsidRPr="00FB0EB1" w:rsidRDefault="0053133A" w:rsidP="005E0110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t>3</w:t>
            </w:r>
            <w:r w:rsidRPr="00FB0EB1">
              <w:rPr>
                <w:i/>
                <w:sz w:val="18"/>
                <w:szCs w:val="18"/>
              </w:rPr>
              <w:t xml:space="preserve"> Okres odniesienia (okres referencyjny) zgodnie z załącznikiem nr 1 do Rozporządzenia delegowanego Komisji (UE) 480/2014 z dnia 3 marca 2014 r. uzupełniającego rozporządzenie ogólne nr 1303/2013. Dla Działania 7.1 Dziedzictwo kulturowe i naturalne okres odniesienia wynosi 15 lat.</w:t>
            </w:r>
          </w:p>
          <w:p w:rsidR="0053133A" w:rsidRPr="002E6073" w:rsidRDefault="0053133A" w:rsidP="005E0110">
            <w:pPr>
              <w:widowControl w:val="0"/>
              <w:snapToGrid w:val="0"/>
              <w:spacing w:after="120"/>
              <w:jc w:val="both"/>
            </w:pPr>
          </w:p>
        </w:tc>
        <w:tc>
          <w:tcPr>
            <w:tcW w:w="3868" w:type="dxa"/>
          </w:tcPr>
          <w:p w:rsidR="0053133A" w:rsidRPr="002E6073" w:rsidRDefault="0053133A" w:rsidP="002E6073">
            <w:pPr>
              <w:widowControl w:val="0"/>
              <w:snapToGrid w:val="0"/>
              <w:spacing w:after="120"/>
              <w:jc w:val="both"/>
            </w:pPr>
            <w:r w:rsidRPr="002E6073">
              <w:t xml:space="preserve">Maksymalny % poziom dofinansowania projektu z EFRR: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</w:pPr>
            <w:r w:rsidRPr="002E6073">
              <w:t>projekty nieobjęte pomocą publiczną: 85% wydatków kwalifikowalnych</w:t>
            </w:r>
            <w:r>
              <w:rPr>
                <w:vertAlign w:val="superscript"/>
              </w:rPr>
              <w:t>1</w:t>
            </w:r>
            <w:r w:rsidRPr="002E6073">
              <w:t>.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120"/>
              <w:ind w:left="265" w:hanging="284"/>
              <w:jc w:val="both"/>
            </w:pPr>
            <w:r w:rsidRPr="002E6073">
              <w:t>projekty objęte pomocą publiczną: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3"/>
              </w:numPr>
              <w:snapToGrid w:val="0"/>
              <w:spacing w:after="120"/>
              <w:ind w:left="407" w:hanging="142"/>
              <w:jc w:val="both"/>
            </w:pPr>
            <w:r w:rsidRPr="002E6073">
              <w:t xml:space="preserve">  W przypadku schematu pomocowego, o którym mowa w rozdziale 5.3 pkt 1 w przypadku pomocy inwestycyjnej kwota pomocy nie przekracza różnicy między kosztami kwalifikowanymi, a zyskiem operacyjnym z inwestycji. Zysk operacyjny odlicza się od kosztów kwalifikowanych ex ante, na podstawie rozsądnych prognoz, albo przy użyciu mechanizmu wycofania</w:t>
            </w:r>
            <w:r>
              <w:rPr>
                <w:vertAlign w:val="superscript"/>
              </w:rPr>
              <w:t>2</w:t>
            </w:r>
            <w:r w:rsidRPr="002E6073">
              <w:t>. Operator infrastruktury ma prawo zatrzymać rozsądny zysk</w:t>
            </w:r>
            <w:r>
              <w:rPr>
                <w:vertAlign w:val="superscript"/>
              </w:rPr>
              <w:t>3</w:t>
            </w:r>
            <w:r w:rsidRPr="002E6073">
              <w:t xml:space="preserve"> przez odnośny okres</w:t>
            </w:r>
            <w:r>
              <w:rPr>
                <w:vertAlign w:val="superscript"/>
              </w:rPr>
              <w:t>4</w:t>
            </w:r>
            <w:r w:rsidRPr="002E6073">
              <w:t xml:space="preserve">.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3"/>
              </w:numPr>
              <w:snapToGrid w:val="0"/>
              <w:spacing w:after="120"/>
              <w:ind w:left="407" w:hanging="142"/>
              <w:jc w:val="both"/>
            </w:pPr>
            <w:r w:rsidRPr="002E6073">
              <w:t>w przypadku schematu pomocowego, o którym mowa w rozdziale 5.3 pkt 2 kwota pomocy nie przekracza różnicy między kosztami kwalifikowanymi, a zyskiem operacyjnym z inwestycji. Zysk operacyjny odlicza się od kosztów kwalifikowanych ex ante, na podstawie rozsądnych prognoz, albo przy użyciu mechanizmu wycofania.</w:t>
            </w:r>
          </w:p>
          <w:p w:rsidR="0053133A" w:rsidRPr="00FB0EB1" w:rsidRDefault="0053133A" w:rsidP="00FB0EB1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footnoteRef/>
            </w:r>
            <w:r w:rsidRPr="00FB0EB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FB0EB1">
              <w:rPr>
                <w:i/>
                <w:sz w:val="18"/>
                <w:szCs w:val="18"/>
              </w:rPr>
              <w:t>W związku z tym, że w ramach przedmiotowego konkursu o dofinansowanie ubiegać się mogą projekty, których wartość nie przekracza 2 mln PLN żaden z nich, zgodnie z art. 61 ust 7 lit. b) rozporządzenia ogólnego, nie podlega obowiązkowi wyliczenia luki finansowej.</w:t>
            </w:r>
          </w:p>
          <w:p w:rsidR="0053133A" w:rsidRPr="00FB0EB1" w:rsidRDefault="0053133A" w:rsidP="00FB0EB1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t>2</w:t>
            </w:r>
            <w:r w:rsidRPr="00FB0EB1">
              <w:rPr>
                <w:i/>
                <w:sz w:val="18"/>
                <w:szCs w:val="18"/>
              </w:rPr>
              <w:t xml:space="preserve"> Podstawowym celem mechanizmu wycofania jest zapewnienie, że wybrany operator nie uzyska nadmiernej korzyści w związku z realizacją Projektu (która w konsekwencji może stanowić niedozwoloną pomoc publiczną). Są to różnego rodzaju mechanizmy stosowane i zapisane w umowie z operatorem w celu uzyskania ww. zapewnienia</w:t>
            </w:r>
          </w:p>
          <w:p w:rsidR="0053133A" w:rsidRPr="00FB0EB1" w:rsidRDefault="0053133A" w:rsidP="00FB0EB1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t>3</w:t>
            </w:r>
            <w:r w:rsidRPr="00FB0EB1">
              <w:rPr>
                <w:i/>
                <w:sz w:val="18"/>
                <w:szCs w:val="18"/>
              </w:rPr>
              <w:t xml:space="preserve"> Zgodnie z Rozporządzeniem  651/2014 rozsądny zysk ustala się w odniesieniu do typowego zysku dla danego sektora</w:t>
            </w:r>
          </w:p>
          <w:p w:rsidR="0053133A" w:rsidRPr="00FB0EB1" w:rsidRDefault="0053133A" w:rsidP="00FB0EB1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t>4</w:t>
            </w:r>
            <w:r w:rsidRPr="00FB0EB1">
              <w:rPr>
                <w:i/>
                <w:sz w:val="18"/>
                <w:szCs w:val="18"/>
              </w:rPr>
              <w:t xml:space="preserve"> Okres odniesienia (okres referencyjny) zgodnie z załącznikiem nr 1 do Rozporządzenia delegowanego Komisji (UE) 480/2014 z dnia 3 marca 2014 r. uzupełniającego rozporządzenie ogólne nr 1303/2013. Dla Działania 7.1 Dziedzictwo kulturowe i naturalne okres odniesienia wynosi 15 lat.</w:t>
            </w:r>
          </w:p>
          <w:p w:rsidR="0053133A" w:rsidRPr="002E6073" w:rsidRDefault="0053133A" w:rsidP="005C14E6"/>
        </w:tc>
        <w:tc>
          <w:tcPr>
            <w:tcW w:w="2849" w:type="dxa"/>
          </w:tcPr>
          <w:p w:rsidR="0053133A" w:rsidRPr="002E6073" w:rsidRDefault="0053133A" w:rsidP="00123E13">
            <w:r w:rsidRPr="002E6073">
              <w:t>Doprecyzowanie zapisów, jakie mają znaleźć się w niniejszym dokumencie. Zmiana wpływa na numerację przypisów w dokumencie. Dodatkowo po konsultacjach z MIR wykreślono zapisy dotyczące możliwości otrzymania dofinansowania na poziomie 80% dla projektów, gdzie pomoc nie przekracza 1 mln EUR</w:t>
            </w:r>
          </w:p>
        </w:tc>
      </w:tr>
      <w:tr w:rsidR="0053133A" w:rsidRPr="002E6073" w:rsidTr="002E6073">
        <w:trPr>
          <w:trHeight w:val="120"/>
        </w:trPr>
        <w:tc>
          <w:tcPr>
            <w:tcW w:w="529" w:type="dxa"/>
          </w:tcPr>
          <w:p w:rsidR="0053133A" w:rsidRPr="002E6073" w:rsidRDefault="0053133A" w:rsidP="00A926E6">
            <w:r w:rsidRPr="002E6073">
              <w:t xml:space="preserve">3. </w:t>
            </w:r>
          </w:p>
        </w:tc>
        <w:tc>
          <w:tcPr>
            <w:tcW w:w="2817" w:type="dxa"/>
          </w:tcPr>
          <w:p w:rsidR="0053133A" w:rsidRPr="002E6073" w:rsidRDefault="0053133A" w:rsidP="00A926E6">
            <w:r w:rsidRPr="002E6073">
              <w:t>Rozdział V</w:t>
            </w:r>
            <w:r w:rsidRPr="002E6073">
              <w:rPr>
                <w:i/>
              </w:rPr>
              <w:t>: Zasady finansowania projektu</w:t>
            </w:r>
            <w:r w:rsidRPr="002E6073">
              <w:t xml:space="preserve"> , Punkt  5.1. </w:t>
            </w:r>
            <w:r w:rsidRPr="002E6073">
              <w:rPr>
                <w:i/>
              </w:rPr>
              <w:t>Wkład własny, projekty generujące dochód oraz sposób obliczania luki finansowej</w:t>
            </w:r>
            <w:r w:rsidRPr="002E6073">
              <w:t>, Podpunkt 2.</w:t>
            </w:r>
          </w:p>
        </w:tc>
        <w:tc>
          <w:tcPr>
            <w:tcW w:w="3931" w:type="dxa"/>
          </w:tcPr>
          <w:p w:rsidR="0053133A" w:rsidRPr="002E6073" w:rsidRDefault="0053133A" w:rsidP="002E6073">
            <w:pPr>
              <w:widowControl w:val="0"/>
              <w:snapToGrid w:val="0"/>
              <w:spacing w:after="120"/>
              <w:jc w:val="both"/>
            </w:pPr>
            <w:r w:rsidRPr="002E6073">
              <w:t>Maksymalny % poziom dofinansowania całkowitego wydatków kwalifikowalnych na poziomie projektu (środki UE + ewentualne współfinansowanie z budżetu państwa lub innych źródeł przyznawane beneficjentowi przez właściwą instytucję):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4"/>
              </w:numPr>
              <w:tabs>
                <w:tab w:val="clear" w:pos="357"/>
                <w:tab w:val="num" w:pos="227"/>
              </w:tabs>
              <w:snapToGrid w:val="0"/>
              <w:spacing w:after="120"/>
              <w:ind w:left="227" w:hanging="227"/>
              <w:jc w:val="both"/>
            </w:pPr>
            <w:r w:rsidRPr="002E6073">
              <w:t>projekty nieobjęte pomocą publiczną i niegenerujące dochodu: 95% w tym maksymalnie 10% środków z budżetu państwa).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4"/>
              </w:numPr>
              <w:tabs>
                <w:tab w:val="clear" w:pos="357"/>
              </w:tabs>
              <w:snapToGrid w:val="0"/>
              <w:spacing w:after="0"/>
              <w:ind w:left="227" w:hanging="227"/>
              <w:jc w:val="both"/>
            </w:pPr>
            <w:r w:rsidRPr="002E6073">
              <w:rPr>
                <w:rFonts w:cs="Arial"/>
                <w:lang w:eastAsia="pl-PL"/>
              </w:rPr>
              <w:t>projekty nieobjęte pomocą publiczną i generujące dochód: 85% (zgodnie z luką finansową</w:t>
            </w:r>
            <w:r w:rsidRPr="002E6073">
              <w:rPr>
                <w:rFonts w:cs="Arial"/>
                <w:i/>
                <w:lang w:eastAsia="pl-PL"/>
              </w:rPr>
              <w:t xml:space="preserve">)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120"/>
              <w:ind w:left="227" w:hanging="227"/>
              <w:jc w:val="both"/>
            </w:pPr>
            <w:r w:rsidRPr="002E6073">
              <w:t xml:space="preserve">Projekty objęte pomocą publiczną: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5"/>
              </w:numPr>
              <w:snapToGrid w:val="0"/>
              <w:spacing w:after="120"/>
              <w:ind w:left="369" w:hanging="284"/>
              <w:jc w:val="both"/>
            </w:pPr>
            <w:r w:rsidRPr="002E6073">
              <w:t xml:space="preserve">w przypadku schematu pomocowego, o którym mowa w rozdziale 5.3 pkt 1 w  przypadku pomocy inwestycyjnej kwota pomocy nie przekracza różnicy między kosztami kwalifikowanymi, a zyskiem operacyjnym z inwestycji. Zysk operacyjny odlicza się od kosztów kwalifikowanych ex ante, na podstawie rozsądnych prognoz, albo przy użyciu mechanizmu wycofania. Operator infrastruktury ma prawo zatrzymać rozsądny zysk przez odnośny okres.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5"/>
              </w:numPr>
              <w:snapToGrid w:val="0"/>
              <w:spacing w:after="120"/>
              <w:ind w:left="369" w:hanging="284"/>
              <w:jc w:val="both"/>
            </w:pPr>
            <w:r w:rsidRPr="002E6073">
              <w:t>W przypadku schematu pomocowego, o którym mowa w rozdziale 5.3 pkt 1 jeśli   pomoc nie przekracza 1 mln EUR, maksymalna kwota pomocy  wynosi 80 % kosztów kwalifikowanych.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5"/>
              </w:numPr>
              <w:snapToGrid w:val="0"/>
              <w:spacing w:after="0"/>
              <w:ind w:left="369" w:hanging="284"/>
              <w:jc w:val="both"/>
            </w:pPr>
            <w:r w:rsidRPr="002E6073">
              <w:t>w przypadku schematu pomocowego, o którym mowa w rozdziale 5.3 pkt 2 kwota pomocy nie przekracza różnicy między kosztami kwalifikowanymi, a zyskiem operacyjnym z inwestycji. Zysk operacyjny odlicza się od kosztów kwalifikowanych ex ante, na podstawie rozsądnych prognoz, albo przy użyciu mechanizmu wycofania.</w:t>
            </w:r>
          </w:p>
          <w:p w:rsidR="0053133A" w:rsidRPr="002E6073" w:rsidRDefault="0053133A" w:rsidP="00A926E6"/>
        </w:tc>
        <w:tc>
          <w:tcPr>
            <w:tcW w:w="3868" w:type="dxa"/>
          </w:tcPr>
          <w:p w:rsidR="0053133A" w:rsidRPr="002E6073" w:rsidRDefault="0053133A" w:rsidP="002E6073">
            <w:pPr>
              <w:widowControl w:val="0"/>
              <w:snapToGrid w:val="0"/>
              <w:spacing w:after="120"/>
              <w:jc w:val="both"/>
            </w:pPr>
            <w:r w:rsidRPr="002E6073">
              <w:rPr>
                <w:rFonts w:cs="Arial"/>
                <w:b/>
              </w:rPr>
              <w:t xml:space="preserve"> </w:t>
            </w:r>
            <w:r w:rsidRPr="002E6073">
              <w:t>Maksymalny % poziom dofinansowania całkowitego wydatków kwalifikowalnych na poziomie projektu (środki UE + ewentualne współfinansowanie z budżetu państwa</w:t>
            </w:r>
            <w:r>
              <w:rPr>
                <w:vertAlign w:val="superscript"/>
              </w:rPr>
              <w:t>5</w:t>
            </w:r>
            <w:r w:rsidRPr="002E6073">
              <w:t xml:space="preserve"> lub innych źródeł przyznawane beneficjentowi przez właściwą instytucję):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4"/>
              </w:numPr>
              <w:tabs>
                <w:tab w:val="clear" w:pos="357"/>
                <w:tab w:val="num" w:pos="265"/>
              </w:tabs>
              <w:snapToGrid w:val="0"/>
              <w:spacing w:after="120"/>
              <w:ind w:left="265" w:hanging="284"/>
              <w:jc w:val="both"/>
            </w:pPr>
            <w:r w:rsidRPr="002E6073">
              <w:t>projekty nieobjęte pomocą publiczną i niegenerujące dochodu</w:t>
            </w:r>
            <w:r>
              <w:rPr>
                <w:vertAlign w:val="superscript"/>
              </w:rPr>
              <w:t>6</w:t>
            </w:r>
            <w:r w:rsidRPr="002E6073">
              <w:t>: 95%, w tym maksymalnie 10% środków z budżetu państwa).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120"/>
              <w:ind w:left="265" w:hanging="284"/>
              <w:jc w:val="both"/>
            </w:pPr>
            <w:r w:rsidRPr="002E6073">
              <w:t xml:space="preserve">Projekty objęte pomocą publiczną: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5"/>
              </w:numPr>
              <w:snapToGrid w:val="0"/>
              <w:spacing w:after="120"/>
              <w:ind w:left="265" w:hanging="142"/>
              <w:jc w:val="both"/>
            </w:pPr>
            <w:r w:rsidRPr="002E6073">
              <w:t xml:space="preserve">w przypadku schematu pomocowego, o którym mowa w rozdziale </w:t>
            </w:r>
            <w:r w:rsidRPr="002E6073">
              <w:br/>
              <w:t xml:space="preserve">5.3 pkt 1 w  przypadku pomocy inwestycyjnej kwota pomocy nie przekracza różnicy między kosztami kwalifikowanymi, a zyskiem operacyjnym z inwestycji. Zysk operacyjny odlicza się od kosztów kwalifikowanych ex ante, na podstawie rozsądnych prognoz, albo przy użyciu mechanizmu wycofania. Operator infrastruktury ma prawo zatrzymać rozsądny zysk przez odnośny okres. </w:t>
            </w:r>
          </w:p>
          <w:p w:rsidR="0053133A" w:rsidRDefault="0053133A" w:rsidP="002E6073">
            <w:pPr>
              <w:widowControl w:val="0"/>
              <w:numPr>
                <w:ilvl w:val="0"/>
                <w:numId w:val="15"/>
              </w:numPr>
              <w:snapToGrid w:val="0"/>
              <w:spacing w:after="0"/>
              <w:ind w:left="265" w:hanging="142"/>
              <w:jc w:val="both"/>
            </w:pPr>
            <w:r w:rsidRPr="002E6073">
              <w:t>w przypadku schematu pomocowego, o którym mowa w rozdziale 5.3 pkt 2 kwota pomocy nie przekracza różnicy między kosztami kwalifikowanymi, a zyskiem operacyjnym z inwestycji. Zysk operacyjny odlicza się od kosztów kwalifikowanych ex ante, na podstawie rozsądnych prognoz, albo przy użyciu mechanizmu wycofania.</w:t>
            </w:r>
          </w:p>
          <w:p w:rsidR="0053133A" w:rsidRPr="002E6073" w:rsidRDefault="0053133A" w:rsidP="005C14E6">
            <w:pPr>
              <w:widowControl w:val="0"/>
              <w:snapToGrid w:val="0"/>
              <w:spacing w:after="0"/>
              <w:ind w:left="123"/>
              <w:jc w:val="both"/>
            </w:pPr>
          </w:p>
          <w:p w:rsidR="0053133A" w:rsidRPr="00FB0EB1" w:rsidRDefault="0053133A" w:rsidP="005C14E6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t>5</w:t>
            </w:r>
            <w:r w:rsidRPr="00FB0EB1">
              <w:rPr>
                <w:i/>
                <w:sz w:val="18"/>
                <w:szCs w:val="18"/>
              </w:rPr>
              <w:t xml:space="preserve"> Zgodnie z zapisami Kontraktu Terytorialnego środki z budżetu państwa nie mogą zostać zakontraktowane na realizację projektów objętych regułami pomocy publicznej lub projektów generujących dochód w rozumieniu art. 61 rozporządzenia ogólnego.</w:t>
            </w:r>
          </w:p>
          <w:p w:rsidR="0053133A" w:rsidRPr="00FB0EB1" w:rsidRDefault="0053133A" w:rsidP="005C14E6">
            <w:pPr>
              <w:pStyle w:val="FootnoteText"/>
              <w:rPr>
                <w:i/>
                <w:sz w:val="18"/>
                <w:szCs w:val="18"/>
              </w:rPr>
            </w:pPr>
            <w:r w:rsidRPr="00FB0EB1">
              <w:rPr>
                <w:rStyle w:val="FootnoteReference"/>
                <w:i/>
                <w:sz w:val="18"/>
                <w:szCs w:val="18"/>
              </w:rPr>
              <w:t>6</w:t>
            </w:r>
            <w:r w:rsidRPr="00FB0EB1">
              <w:rPr>
                <w:i/>
                <w:sz w:val="18"/>
                <w:szCs w:val="18"/>
              </w:rPr>
              <w:t xml:space="preserve"> Zgodnie z art. 61 rozporządzenia ogólnego projekty złożone w ramach przedmiotowego konkursu, o wartości całkowitej do 2 mln zł, nie zostaną uznane za projekty generujące dochód.</w:t>
            </w:r>
          </w:p>
          <w:p w:rsidR="0053133A" w:rsidRPr="002E6073" w:rsidRDefault="0053133A" w:rsidP="00A926E6">
            <w:pPr>
              <w:rPr>
                <w:b/>
              </w:rPr>
            </w:pPr>
          </w:p>
          <w:p w:rsidR="0053133A" w:rsidRPr="002E6073" w:rsidRDefault="0053133A" w:rsidP="00A926E6"/>
        </w:tc>
        <w:tc>
          <w:tcPr>
            <w:tcW w:w="2849" w:type="dxa"/>
          </w:tcPr>
          <w:p w:rsidR="0053133A" w:rsidRPr="002E6073" w:rsidRDefault="0053133A" w:rsidP="00A926E6">
            <w:r w:rsidRPr="002E6073">
              <w:t>Doprecyzowanie zapisów, jakie mają znaleźć się w niniejszym dokumencie. Zmiana wpływa na numerację przypisów w dokumencie. Dodatkowo po konsultacjach z MIR wykreślono zapisy dotyczące możliwości otrzymania dofinansowania na poziomie 80% dla projektów, gdzie pomoc nie przekracza 1 mln EUR</w:t>
            </w:r>
          </w:p>
        </w:tc>
      </w:tr>
      <w:tr w:rsidR="0053133A" w:rsidRPr="002E6073" w:rsidTr="00FB0EB1">
        <w:trPr>
          <w:trHeight w:val="4312"/>
        </w:trPr>
        <w:tc>
          <w:tcPr>
            <w:tcW w:w="529" w:type="dxa"/>
          </w:tcPr>
          <w:p w:rsidR="0053133A" w:rsidRPr="002E6073" w:rsidRDefault="0053133A" w:rsidP="00A926E6">
            <w:r w:rsidRPr="002E6073">
              <w:t xml:space="preserve">4. </w:t>
            </w:r>
          </w:p>
        </w:tc>
        <w:tc>
          <w:tcPr>
            <w:tcW w:w="2817" w:type="dxa"/>
          </w:tcPr>
          <w:p w:rsidR="0053133A" w:rsidRPr="002E6073" w:rsidRDefault="0053133A" w:rsidP="00A926E6">
            <w:r w:rsidRPr="002E6073">
              <w:t>Rozdział V</w:t>
            </w:r>
            <w:r w:rsidRPr="002E6073">
              <w:rPr>
                <w:i/>
              </w:rPr>
              <w:t>: Zasady finansowania projektu</w:t>
            </w:r>
            <w:r w:rsidRPr="002E6073">
              <w:t xml:space="preserve"> , Punkt  5.1. </w:t>
            </w:r>
            <w:r w:rsidRPr="002E6073">
              <w:rPr>
                <w:i/>
              </w:rPr>
              <w:t>Wkład własny, projekty generujące dochód oraz sposób obliczania luki finansowej</w:t>
            </w:r>
            <w:r w:rsidRPr="002E6073">
              <w:t>, Podpunkt 3.</w:t>
            </w:r>
          </w:p>
        </w:tc>
        <w:tc>
          <w:tcPr>
            <w:tcW w:w="3931" w:type="dxa"/>
          </w:tcPr>
          <w:p w:rsidR="0053133A" w:rsidRPr="002E6073" w:rsidRDefault="0053133A" w:rsidP="002E6073">
            <w:pPr>
              <w:widowControl w:val="0"/>
              <w:snapToGrid w:val="0"/>
              <w:spacing w:after="120"/>
              <w:jc w:val="both"/>
            </w:pPr>
            <w:r w:rsidRPr="002E6073">
              <w:t xml:space="preserve">Minimalny wkład własny beneficjenta jako % wydatków kwalifikowanych: </w:t>
            </w:r>
          </w:p>
          <w:p w:rsidR="0053133A" w:rsidRPr="002E6073" w:rsidRDefault="0053133A" w:rsidP="002E6073">
            <w:pPr>
              <w:numPr>
                <w:ilvl w:val="0"/>
                <w:numId w:val="16"/>
              </w:numPr>
              <w:spacing w:after="0"/>
              <w:ind w:left="227" w:hanging="227"/>
              <w:jc w:val="both"/>
            </w:pPr>
            <w:r w:rsidRPr="002E6073">
              <w:t>projekty nieobjęte pomocą publiczną i niegenerujące dochodu: 5%</w:t>
            </w:r>
          </w:p>
          <w:p w:rsidR="0053133A" w:rsidRPr="002E6073" w:rsidRDefault="0053133A" w:rsidP="002E6073">
            <w:pPr>
              <w:numPr>
                <w:ilvl w:val="0"/>
                <w:numId w:val="16"/>
              </w:numPr>
              <w:spacing w:after="0"/>
              <w:ind w:left="227" w:hanging="227"/>
              <w:jc w:val="both"/>
            </w:pPr>
            <w:r w:rsidRPr="002E6073">
              <w:t>projektu nieobjęte pomocą i generujące dochód: 15% (zgodnie z luką finansową)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120"/>
              <w:ind w:left="227" w:hanging="227"/>
              <w:jc w:val="both"/>
            </w:pPr>
            <w:r w:rsidRPr="002E6073">
              <w:t xml:space="preserve">projekty objęte pomocą publiczną: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7"/>
              </w:numPr>
              <w:snapToGrid w:val="0"/>
              <w:spacing w:after="120"/>
              <w:ind w:left="369" w:hanging="142"/>
              <w:jc w:val="both"/>
            </w:pPr>
            <w:r w:rsidRPr="002E6073">
              <w:t xml:space="preserve">W zależności od wyliczonej kwoty pomocy -  w przypadku schematu pomocowego, o którym mowa w rozdziale 5.3 pkt 1 w  przypadku pomocy inwestycyjnej kwota pomocy nie przekracza różnicy między kosztami kwalifikowanymi, a zyskiem operacyjnym z inwestycji. Zysk operacyjny odlicza się od kosztów kwalifikowanych ex ante, na podstawie rozsądnych prognoz, albo przy użyciu mechanizmu wycofania. Operator infrastruktury ma prawo zatrzymać rozsądny zysk przez odnośny okres. 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7"/>
              </w:numPr>
              <w:snapToGrid w:val="0"/>
              <w:spacing w:after="120"/>
              <w:ind w:left="369" w:hanging="142"/>
              <w:jc w:val="both"/>
            </w:pPr>
            <w:r w:rsidRPr="002E6073">
              <w:t>w przypadku schematu pomocowego, o którym mowa w rozdziale 5.3 pkt 1 w przypadku gdy pomoc nie przekracza 1 mln EUR, maksymalna kwota pomocy  wynosi 20 % kosztów kwalifikowanych.</w:t>
            </w:r>
          </w:p>
          <w:p w:rsidR="0053133A" w:rsidRPr="002E6073" w:rsidRDefault="0053133A" w:rsidP="00A926E6">
            <w:pPr>
              <w:rPr>
                <w:color w:val="FF0000"/>
              </w:rPr>
            </w:pPr>
          </w:p>
        </w:tc>
        <w:tc>
          <w:tcPr>
            <w:tcW w:w="3868" w:type="dxa"/>
          </w:tcPr>
          <w:p w:rsidR="0053133A" w:rsidRPr="002E6073" w:rsidRDefault="0053133A" w:rsidP="002E6073">
            <w:pPr>
              <w:widowControl w:val="0"/>
              <w:snapToGrid w:val="0"/>
              <w:spacing w:after="120"/>
              <w:jc w:val="both"/>
            </w:pPr>
            <w:r w:rsidRPr="002E6073">
              <w:t xml:space="preserve">Minimalny wkład własny beneficjenta jako % wydatków kwalifikowanych: </w:t>
            </w:r>
          </w:p>
          <w:p w:rsidR="0053133A" w:rsidRPr="002E6073" w:rsidRDefault="0053133A" w:rsidP="002E6073">
            <w:pPr>
              <w:numPr>
                <w:ilvl w:val="0"/>
                <w:numId w:val="16"/>
              </w:numPr>
              <w:spacing w:after="0"/>
              <w:ind w:left="265" w:hanging="265"/>
              <w:jc w:val="both"/>
            </w:pPr>
            <w:r w:rsidRPr="002E6073">
              <w:t>projekty nieobjęte pomocą publiczną i niegenerujące dochodu: 5%</w:t>
            </w:r>
          </w:p>
          <w:p w:rsidR="0053133A" w:rsidRPr="002E6073" w:rsidRDefault="0053133A" w:rsidP="002E6073">
            <w:pPr>
              <w:widowControl w:val="0"/>
              <w:numPr>
                <w:ilvl w:val="0"/>
                <w:numId w:val="12"/>
              </w:numPr>
              <w:snapToGrid w:val="0"/>
              <w:spacing w:after="120"/>
              <w:ind w:left="265" w:hanging="265"/>
              <w:jc w:val="both"/>
            </w:pPr>
            <w:r w:rsidRPr="002E6073">
              <w:t>projekty objęte pomocą publiczną: w zależności od wyliczonej kwoty pomocy zgodnie z pkt. 1 i 2 niniejszego rozdziału.</w:t>
            </w:r>
          </w:p>
          <w:p w:rsidR="0053133A" w:rsidRPr="002E6073" w:rsidRDefault="0053133A" w:rsidP="00A926E6">
            <w:pPr>
              <w:rPr>
                <w:color w:val="FF0000"/>
              </w:rPr>
            </w:pPr>
          </w:p>
        </w:tc>
        <w:tc>
          <w:tcPr>
            <w:tcW w:w="2849" w:type="dxa"/>
          </w:tcPr>
          <w:p w:rsidR="0053133A" w:rsidRPr="002E6073" w:rsidRDefault="0053133A" w:rsidP="007C6F8A">
            <w:pPr>
              <w:rPr>
                <w:color w:val="FF0000"/>
              </w:rPr>
            </w:pPr>
            <w:r w:rsidRPr="002E6073">
              <w:t>Doprecyzowanie zapisów wynikających ze zmian wprowadzonych w aktualizowanym dokumencie. Dodatkowo po konsultacjach z MIR wykreślono zapisy dotyczące możliwości otrzymania dofinansowania na poziomie 80% dla projektów, gdzie pomoc nie przekracza 1 mln EUR</w:t>
            </w:r>
          </w:p>
        </w:tc>
      </w:tr>
      <w:tr w:rsidR="0053133A" w:rsidRPr="002E6073" w:rsidTr="00BC6EA4">
        <w:trPr>
          <w:trHeight w:val="3953"/>
        </w:trPr>
        <w:tc>
          <w:tcPr>
            <w:tcW w:w="529" w:type="dxa"/>
          </w:tcPr>
          <w:p w:rsidR="0053133A" w:rsidRPr="002E6073" w:rsidRDefault="0053133A" w:rsidP="00A926E6">
            <w:r w:rsidRPr="002E6073">
              <w:t>5.</w:t>
            </w:r>
          </w:p>
        </w:tc>
        <w:tc>
          <w:tcPr>
            <w:tcW w:w="2817" w:type="dxa"/>
          </w:tcPr>
          <w:p w:rsidR="0053133A" w:rsidRPr="002E6073" w:rsidRDefault="0053133A" w:rsidP="00A926E6">
            <w:r w:rsidRPr="002E6073">
              <w:t xml:space="preserve">Rozdział V: </w:t>
            </w:r>
            <w:r w:rsidRPr="002E6073">
              <w:rPr>
                <w:i/>
              </w:rPr>
              <w:t>Zasady finansowania projektu</w:t>
            </w:r>
            <w:r w:rsidRPr="002E6073">
              <w:t>,  Punkt 5.2.</w:t>
            </w:r>
            <w:r w:rsidRPr="002E6073">
              <w:rPr>
                <w:i/>
              </w:rPr>
              <w:t>Kwalifikowalność projektu</w:t>
            </w:r>
            <w:r w:rsidRPr="002E6073">
              <w:t xml:space="preserve">, </w:t>
            </w:r>
          </w:p>
        </w:tc>
        <w:tc>
          <w:tcPr>
            <w:tcW w:w="3931" w:type="dxa"/>
          </w:tcPr>
          <w:p w:rsidR="0053133A" w:rsidRPr="002E6073" w:rsidRDefault="0053133A" w:rsidP="00A926E6"/>
        </w:tc>
        <w:tc>
          <w:tcPr>
            <w:tcW w:w="3868" w:type="dxa"/>
          </w:tcPr>
          <w:p w:rsidR="0053133A" w:rsidRPr="002E6073" w:rsidRDefault="0053133A" w:rsidP="002E6073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</w:pPr>
            <w:r w:rsidRPr="002E6073">
              <w:rPr>
                <w:rFonts w:cs="Arial"/>
                <w:b/>
              </w:rPr>
              <w:t>Dodano zapis:</w:t>
            </w:r>
            <w:r w:rsidRPr="002E6073">
              <w:t xml:space="preserve"> Projekty podlegające pomocy publicznej muszą spełniać efekt zachęty w rozumieniu rozporządzenia 651/2014. Uznaje się, że pomoc wywołuje efekt zachęty, jeżeli beneficjent złożył wniosek o dofinansowanie przed rozpoczęciem prac nad projektem. W związku z powyższym okres kwalifikowalności wydatków dla projektów podlegających pomocy publicznej rozpoczyna się po dacie złożenia wniosku o dofinasowanie. </w:t>
            </w:r>
          </w:p>
          <w:p w:rsidR="0053133A" w:rsidRPr="002E6073" w:rsidRDefault="0053133A" w:rsidP="002E6073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</w:pPr>
            <w:r w:rsidRPr="002E6073">
              <w:t xml:space="preserve">W drodze odstępstwa od powyższego w przypadku pomocy na zachowanie dziedzictwa kulturowego nie obowiązuje efekt zachęty lub uznaje się, że wywołuje ona taki efekt. Dlatego też dla projektów, dla których zastosowanie ma </w:t>
            </w:r>
            <w:r w:rsidRPr="002E6073">
              <w:rPr>
                <w:i/>
              </w:rPr>
              <w:t xml:space="preserve">Rozporządzenie Ministra Infrastruktury i Rozwoju z dnia 28 sierpnia 2015 r. w sprawie udzielania pomocy inwestycyjnej na  kulturę i zachowanie dziedzictwa kulturowego  w ramach regionalnych programów operacyjnych na lata 2014-2020, </w:t>
            </w:r>
            <w:r w:rsidRPr="002E6073">
              <w:t>okres kwalifikowalności wydatków rozpoczyna się z dniem 1 stycznia 2014</w:t>
            </w:r>
            <w:r w:rsidRPr="002E6073">
              <w:rPr>
                <w:i/>
              </w:rPr>
              <w:t>.</w:t>
            </w:r>
          </w:p>
          <w:p w:rsidR="0053133A" w:rsidRPr="002E6073" w:rsidRDefault="0053133A" w:rsidP="00A926E6"/>
        </w:tc>
        <w:tc>
          <w:tcPr>
            <w:tcW w:w="2849" w:type="dxa"/>
          </w:tcPr>
          <w:p w:rsidR="0053133A" w:rsidRPr="002E6073" w:rsidRDefault="0053133A" w:rsidP="005079F1">
            <w:r w:rsidRPr="002E6073">
              <w:t xml:space="preserve">Doprecyzowanie zapisów, dotyczących terminów kwalifikowania wydatków. </w:t>
            </w:r>
          </w:p>
          <w:p w:rsidR="0053133A" w:rsidRPr="002E6073" w:rsidRDefault="0053133A" w:rsidP="005079F1">
            <w:r w:rsidRPr="002E6073">
              <w:t>Zmiana wpływa na numerację podpunktów w dokumencie.</w:t>
            </w:r>
          </w:p>
        </w:tc>
      </w:tr>
    </w:tbl>
    <w:p w:rsidR="0053133A" w:rsidRDefault="0053133A" w:rsidP="00505A62"/>
    <w:sectPr w:rsidR="0053133A" w:rsidSect="00A926E6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3A" w:rsidRDefault="0053133A" w:rsidP="00505A62">
      <w:pPr>
        <w:spacing w:after="0" w:line="240" w:lineRule="auto"/>
      </w:pPr>
      <w:r>
        <w:separator/>
      </w:r>
    </w:p>
  </w:endnote>
  <w:endnote w:type="continuationSeparator" w:id="0">
    <w:p w:rsidR="0053133A" w:rsidRDefault="0053133A" w:rsidP="0050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3A" w:rsidRDefault="0053133A" w:rsidP="00A926E6">
    <w:pPr>
      <w:pStyle w:val="Footer"/>
      <w:jc w:val="center"/>
    </w:pPr>
  </w:p>
  <w:p w:rsidR="0053133A" w:rsidRPr="00455BAC" w:rsidRDefault="0053133A">
    <w:pPr>
      <w:pStyle w:val="Footer"/>
      <w:jc w:val="right"/>
    </w:pPr>
    <w:r w:rsidRPr="00455BAC">
      <w:t xml:space="preserve">Strona </w:t>
    </w:r>
    <w:r w:rsidRPr="00455BAC">
      <w:rPr>
        <w:bCs/>
      </w:rPr>
      <w:fldChar w:fldCharType="begin"/>
    </w:r>
    <w:r w:rsidRPr="00455BAC">
      <w:rPr>
        <w:bCs/>
      </w:rPr>
      <w:instrText>PAGE</w:instrText>
    </w:r>
    <w:r w:rsidRPr="00455BAC">
      <w:rPr>
        <w:bCs/>
      </w:rPr>
      <w:fldChar w:fldCharType="separate"/>
    </w:r>
    <w:r>
      <w:rPr>
        <w:bCs/>
        <w:noProof/>
      </w:rPr>
      <w:t>2</w:t>
    </w:r>
    <w:r w:rsidRPr="00455BAC">
      <w:rPr>
        <w:bCs/>
      </w:rPr>
      <w:fldChar w:fldCharType="end"/>
    </w:r>
    <w:r w:rsidRPr="00455BAC">
      <w:t xml:space="preserve"> z </w:t>
    </w:r>
    <w:r w:rsidRPr="00455BAC">
      <w:rPr>
        <w:bCs/>
      </w:rPr>
      <w:fldChar w:fldCharType="begin"/>
    </w:r>
    <w:r w:rsidRPr="00455BAC">
      <w:rPr>
        <w:bCs/>
      </w:rPr>
      <w:instrText>NUMPAGES</w:instrText>
    </w:r>
    <w:r w:rsidRPr="00455BAC">
      <w:rPr>
        <w:bCs/>
      </w:rPr>
      <w:fldChar w:fldCharType="separate"/>
    </w:r>
    <w:r>
      <w:rPr>
        <w:bCs/>
        <w:noProof/>
      </w:rPr>
      <w:t>7</w:t>
    </w:r>
    <w:r w:rsidRPr="00455BAC">
      <w:rPr>
        <w:bCs/>
      </w:rPr>
      <w:fldChar w:fldCharType="end"/>
    </w:r>
  </w:p>
  <w:p w:rsidR="0053133A" w:rsidRPr="00455BAC" w:rsidRDefault="005313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3A" w:rsidRDefault="0053133A" w:rsidP="00A926E6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85.25pt;height:86.25pt;visibility:visible">
          <v:imagedata r:id="rId1" o:title=""/>
        </v:shape>
      </w:pict>
    </w:r>
  </w:p>
  <w:p w:rsidR="0053133A" w:rsidRDefault="0053133A">
    <w:pPr>
      <w:pStyle w:val="Footer"/>
      <w:jc w:val="right"/>
    </w:pPr>
    <w:r w:rsidRPr="00950A2D">
      <w:t xml:space="preserve">Strona </w:t>
    </w:r>
    <w:r w:rsidRPr="00950A2D">
      <w:rPr>
        <w:bCs/>
      </w:rPr>
      <w:fldChar w:fldCharType="begin"/>
    </w:r>
    <w:r w:rsidRPr="00950A2D">
      <w:rPr>
        <w:bCs/>
      </w:rPr>
      <w:instrText>PAGE</w:instrText>
    </w:r>
    <w:r w:rsidRPr="00950A2D">
      <w:rPr>
        <w:bCs/>
      </w:rPr>
      <w:fldChar w:fldCharType="separate"/>
    </w:r>
    <w:r>
      <w:rPr>
        <w:bCs/>
        <w:noProof/>
      </w:rPr>
      <w:t>1</w:t>
    </w:r>
    <w:r w:rsidRPr="00950A2D">
      <w:rPr>
        <w:bCs/>
      </w:rPr>
      <w:fldChar w:fldCharType="end"/>
    </w:r>
    <w:r w:rsidRPr="00950A2D">
      <w:t xml:space="preserve"> z </w:t>
    </w:r>
    <w:r w:rsidRPr="00950A2D">
      <w:rPr>
        <w:bCs/>
      </w:rPr>
      <w:fldChar w:fldCharType="begin"/>
    </w:r>
    <w:r w:rsidRPr="00950A2D">
      <w:rPr>
        <w:bCs/>
      </w:rPr>
      <w:instrText>NUMPAGES</w:instrText>
    </w:r>
    <w:r w:rsidRPr="00950A2D">
      <w:rPr>
        <w:bCs/>
      </w:rPr>
      <w:fldChar w:fldCharType="separate"/>
    </w:r>
    <w:r>
      <w:rPr>
        <w:bCs/>
        <w:noProof/>
      </w:rPr>
      <w:t>7</w:t>
    </w:r>
    <w:r w:rsidRPr="00950A2D">
      <w:rPr>
        <w:bCs/>
      </w:rPr>
      <w:fldChar w:fldCharType="end"/>
    </w:r>
  </w:p>
  <w:p w:rsidR="0053133A" w:rsidRDefault="00531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3A" w:rsidRDefault="0053133A" w:rsidP="00505A62">
      <w:pPr>
        <w:spacing w:after="0" w:line="240" w:lineRule="auto"/>
      </w:pPr>
      <w:r>
        <w:separator/>
      </w:r>
    </w:p>
  </w:footnote>
  <w:footnote w:type="continuationSeparator" w:id="0">
    <w:p w:rsidR="0053133A" w:rsidRDefault="0053133A" w:rsidP="00505A62">
      <w:pPr>
        <w:spacing w:after="0" w:line="240" w:lineRule="auto"/>
      </w:pPr>
      <w:r>
        <w:continuationSeparator/>
      </w:r>
    </w:p>
  </w:footnote>
  <w:footnote w:id="1">
    <w:p w:rsidR="0053133A" w:rsidRDefault="0053133A" w:rsidP="003473C8">
      <w:pPr>
        <w:pStyle w:val="FootnoteText"/>
      </w:pPr>
    </w:p>
  </w:footnote>
  <w:footnote w:id="2">
    <w:p w:rsidR="0053133A" w:rsidRDefault="0053133A" w:rsidP="003473C8">
      <w:pPr>
        <w:pStyle w:val="FootnoteText"/>
      </w:pPr>
    </w:p>
  </w:footnote>
  <w:footnote w:id="3">
    <w:p w:rsidR="0053133A" w:rsidRDefault="0053133A" w:rsidP="003473C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3A" w:rsidRPr="00CD2648" w:rsidRDefault="0053133A" w:rsidP="00A926E6">
    <w:pPr>
      <w:spacing w:after="0" w:line="240" w:lineRule="auto"/>
      <w:jc w:val="right"/>
      <w:rPr>
        <w:rFonts w:ascii="Arial" w:hAnsi="Arial" w:cs="Arial"/>
        <w:bCs/>
        <w:i/>
        <w:sz w:val="16"/>
        <w:szCs w:val="16"/>
      </w:rPr>
    </w:pPr>
    <w:r w:rsidRPr="00CD2648">
      <w:rPr>
        <w:rFonts w:ascii="Arial" w:hAnsi="Arial" w:cs="Arial"/>
        <w:bCs/>
        <w:i/>
        <w:sz w:val="16"/>
        <w:szCs w:val="16"/>
      </w:rPr>
      <w:t xml:space="preserve">Załącznik </w:t>
    </w:r>
  </w:p>
  <w:p w:rsidR="0053133A" w:rsidRPr="00CD2648" w:rsidRDefault="0053133A" w:rsidP="00A926E6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CD2648">
      <w:rPr>
        <w:rFonts w:ascii="Arial" w:hAnsi="Arial" w:cs="Arial"/>
        <w:bCs/>
        <w:i/>
        <w:sz w:val="16"/>
        <w:szCs w:val="16"/>
      </w:rPr>
      <w:t xml:space="preserve">do Uchwały nr             </w:t>
    </w:r>
    <w:r w:rsidRPr="00CD2648">
      <w:rPr>
        <w:rFonts w:ascii="Arial" w:hAnsi="Arial" w:cs="Arial"/>
        <w:bCs/>
        <w:i/>
        <w:sz w:val="16"/>
        <w:szCs w:val="16"/>
      </w:rPr>
      <w:tab/>
    </w:r>
  </w:p>
  <w:p w:rsidR="0053133A" w:rsidRPr="00CD2648" w:rsidRDefault="0053133A" w:rsidP="00A926E6">
    <w:pPr>
      <w:spacing w:after="0" w:line="240" w:lineRule="auto"/>
      <w:jc w:val="right"/>
      <w:rPr>
        <w:rFonts w:ascii="Arial" w:hAnsi="Arial" w:cs="Arial"/>
        <w:bCs/>
        <w:i/>
        <w:sz w:val="16"/>
        <w:szCs w:val="16"/>
      </w:rPr>
    </w:pPr>
    <w:r w:rsidRPr="00CD2648">
      <w:rPr>
        <w:rFonts w:ascii="Arial" w:hAnsi="Arial" w:cs="Arial"/>
        <w:bCs/>
        <w:i/>
        <w:sz w:val="16"/>
        <w:szCs w:val="16"/>
      </w:rPr>
      <w:t>Zarz</w:t>
    </w:r>
    <w:r w:rsidRPr="00CD2648">
      <w:rPr>
        <w:rFonts w:ascii="Arial" w:hAnsi="Arial" w:cs="Arial"/>
        <w:i/>
        <w:sz w:val="16"/>
        <w:szCs w:val="16"/>
      </w:rPr>
      <w:t>ą</w:t>
    </w:r>
    <w:r w:rsidRPr="00CD2648">
      <w:rPr>
        <w:rFonts w:ascii="Arial" w:hAnsi="Arial" w:cs="Arial"/>
        <w:bCs/>
        <w:i/>
        <w:sz w:val="16"/>
        <w:szCs w:val="16"/>
      </w:rPr>
      <w:t>du Województwa Lubelskiego</w:t>
    </w:r>
  </w:p>
  <w:p w:rsidR="0053133A" w:rsidRPr="00CD2648" w:rsidRDefault="0053133A" w:rsidP="00A926E6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CD2648">
      <w:rPr>
        <w:rFonts w:ascii="Arial" w:hAnsi="Arial" w:cs="Arial"/>
        <w:i/>
        <w:sz w:val="16"/>
        <w:szCs w:val="16"/>
      </w:rPr>
      <w:t>z dnia                          2015 r.</w:t>
    </w:r>
  </w:p>
  <w:p w:rsidR="0053133A" w:rsidRDefault="00531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00A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76A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2E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62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C64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8A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C8F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8E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AED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265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8E6"/>
    <w:multiLevelType w:val="hybridMultilevel"/>
    <w:tmpl w:val="6396D4B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47028E"/>
    <w:multiLevelType w:val="hybridMultilevel"/>
    <w:tmpl w:val="43B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D7E71"/>
    <w:multiLevelType w:val="hybridMultilevel"/>
    <w:tmpl w:val="ABA6965C"/>
    <w:lvl w:ilvl="0" w:tplc="44EA29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47E54F3"/>
    <w:multiLevelType w:val="multilevel"/>
    <w:tmpl w:val="6C7E83F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A74E58"/>
    <w:multiLevelType w:val="hybridMultilevel"/>
    <w:tmpl w:val="DACEB93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3D2ACE"/>
    <w:multiLevelType w:val="hybridMultilevel"/>
    <w:tmpl w:val="D8747BDE"/>
    <w:lvl w:ilvl="0" w:tplc="96141C10">
      <w:start w:val="1"/>
      <w:numFmt w:val="decimal"/>
      <w:lvlText w:val="%1)"/>
      <w:lvlJc w:val="left"/>
      <w:pPr>
        <w:ind w:left="148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>
    <w:nsid w:val="20A769AE"/>
    <w:multiLevelType w:val="hybridMultilevel"/>
    <w:tmpl w:val="15D8431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b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641"/>
        </w:tabs>
        <w:ind w:left="638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998"/>
        </w:tabs>
        <w:ind w:left="995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641"/>
        </w:tabs>
        <w:ind w:left="638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29DB63CA"/>
    <w:multiLevelType w:val="multilevel"/>
    <w:tmpl w:val="23B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27C9C"/>
    <w:multiLevelType w:val="hybridMultilevel"/>
    <w:tmpl w:val="1FA2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37DB7"/>
    <w:multiLevelType w:val="hybridMultilevel"/>
    <w:tmpl w:val="8D9C12A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4059482F"/>
    <w:multiLevelType w:val="hybridMultilevel"/>
    <w:tmpl w:val="E7C04906"/>
    <w:lvl w:ilvl="0" w:tplc="44EA294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</w:rPr>
    </w:lvl>
    <w:lvl w:ilvl="1" w:tplc="CA7CA832">
      <w:start w:val="1"/>
      <w:numFmt w:val="bullet"/>
      <w:lvlText w:val="-"/>
      <w:lvlJc w:val="left"/>
      <w:pPr>
        <w:tabs>
          <w:tab w:val="num" w:pos="1387"/>
        </w:tabs>
        <w:ind w:left="1387" w:hanging="30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1F1AB8"/>
    <w:multiLevelType w:val="hybridMultilevel"/>
    <w:tmpl w:val="760AC030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568B4E30"/>
    <w:multiLevelType w:val="hybridMultilevel"/>
    <w:tmpl w:val="4074FCF0"/>
    <w:lvl w:ilvl="0" w:tplc="834462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863149E"/>
    <w:multiLevelType w:val="hybridMultilevel"/>
    <w:tmpl w:val="C50CD270"/>
    <w:lvl w:ilvl="0" w:tplc="17F8C6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968DE"/>
    <w:multiLevelType w:val="hybridMultilevel"/>
    <w:tmpl w:val="75361266"/>
    <w:lvl w:ilvl="0" w:tplc="551804C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9D67C55"/>
    <w:multiLevelType w:val="hybridMultilevel"/>
    <w:tmpl w:val="AADEB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451EE"/>
    <w:multiLevelType w:val="hybridMultilevel"/>
    <w:tmpl w:val="30EC5F1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7AB54D41"/>
    <w:multiLevelType w:val="hybridMultilevel"/>
    <w:tmpl w:val="18CA3EE6"/>
    <w:lvl w:ilvl="0" w:tplc="7B1665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7"/>
  </w:num>
  <w:num w:numId="5">
    <w:abstractNumId w:val="25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24"/>
  </w:num>
  <w:num w:numId="11">
    <w:abstractNumId w:val="23"/>
  </w:num>
  <w:num w:numId="12">
    <w:abstractNumId w:val="12"/>
  </w:num>
  <w:num w:numId="13">
    <w:abstractNumId w:val="21"/>
  </w:num>
  <w:num w:numId="14">
    <w:abstractNumId w:val="20"/>
  </w:num>
  <w:num w:numId="15">
    <w:abstractNumId w:val="26"/>
  </w:num>
  <w:num w:numId="16">
    <w:abstractNumId w:val="10"/>
  </w:num>
  <w:num w:numId="17">
    <w:abstractNumId w:val="19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A62"/>
    <w:rsid w:val="00004C96"/>
    <w:rsid w:val="000078F7"/>
    <w:rsid w:val="00020988"/>
    <w:rsid w:val="0008334C"/>
    <w:rsid w:val="00085915"/>
    <w:rsid w:val="00123E13"/>
    <w:rsid w:val="001275DA"/>
    <w:rsid w:val="00147DA7"/>
    <w:rsid w:val="00192073"/>
    <w:rsid w:val="002601D8"/>
    <w:rsid w:val="00285095"/>
    <w:rsid w:val="002E6073"/>
    <w:rsid w:val="003000B8"/>
    <w:rsid w:val="003473C8"/>
    <w:rsid w:val="003E16E2"/>
    <w:rsid w:val="004004D5"/>
    <w:rsid w:val="0043182A"/>
    <w:rsid w:val="00452912"/>
    <w:rsid w:val="00455BAC"/>
    <w:rsid w:val="004604C8"/>
    <w:rsid w:val="0047415E"/>
    <w:rsid w:val="004E3585"/>
    <w:rsid w:val="00505A62"/>
    <w:rsid w:val="005079F1"/>
    <w:rsid w:val="0053133A"/>
    <w:rsid w:val="0055307A"/>
    <w:rsid w:val="005C14E6"/>
    <w:rsid w:val="005E0110"/>
    <w:rsid w:val="00612BF5"/>
    <w:rsid w:val="00641597"/>
    <w:rsid w:val="006C75D7"/>
    <w:rsid w:val="006E308A"/>
    <w:rsid w:val="00717872"/>
    <w:rsid w:val="00732E78"/>
    <w:rsid w:val="00767C29"/>
    <w:rsid w:val="007C6F8A"/>
    <w:rsid w:val="008000F1"/>
    <w:rsid w:val="008679C9"/>
    <w:rsid w:val="008905E9"/>
    <w:rsid w:val="00950A2D"/>
    <w:rsid w:val="009961F2"/>
    <w:rsid w:val="009F1CDE"/>
    <w:rsid w:val="009F65BF"/>
    <w:rsid w:val="00A52A0C"/>
    <w:rsid w:val="00A76200"/>
    <w:rsid w:val="00A76352"/>
    <w:rsid w:val="00A926E6"/>
    <w:rsid w:val="00B37EEF"/>
    <w:rsid w:val="00BC6EA4"/>
    <w:rsid w:val="00BE4A01"/>
    <w:rsid w:val="00CD2648"/>
    <w:rsid w:val="00DD2D7E"/>
    <w:rsid w:val="00E12EED"/>
    <w:rsid w:val="00E273D9"/>
    <w:rsid w:val="00E76D22"/>
    <w:rsid w:val="00F166D2"/>
    <w:rsid w:val="00F264B0"/>
    <w:rsid w:val="00F853A3"/>
    <w:rsid w:val="00FA251A"/>
    <w:rsid w:val="00FB0EB1"/>
    <w:rsid w:val="00FB20F3"/>
    <w:rsid w:val="00FC7A68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6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A6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5A62"/>
    <w:rPr>
      <w:rFonts w:ascii="Calibri Light" w:hAnsi="Calibri Light" w:cs="Times New Roman"/>
      <w:b/>
      <w:bCs/>
      <w:color w:val="5B9BD5"/>
    </w:rPr>
  </w:style>
  <w:style w:type="table" w:styleId="TableGrid">
    <w:name w:val="Table Grid"/>
    <w:basedOn w:val="TableNormal"/>
    <w:uiPriority w:val="99"/>
    <w:rsid w:val="00505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iformularztytulelementu">
    <w:name w:val="lsi_formularz_tytul_elementu"/>
    <w:basedOn w:val="DefaultParagraphFont"/>
    <w:uiPriority w:val="99"/>
    <w:rsid w:val="00505A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5A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05A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5A6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05A62"/>
    <w:rPr>
      <w:rFonts w:cs="Times New Roman"/>
      <w:vertAlign w:val="superscript"/>
    </w:rPr>
  </w:style>
  <w:style w:type="character" w:customStyle="1" w:styleId="lsiselectedoptiontext">
    <w:name w:val="lsi_selected_option_text"/>
    <w:basedOn w:val="DefaultParagraphFont"/>
    <w:uiPriority w:val="99"/>
    <w:rsid w:val="00505A62"/>
    <w:rPr>
      <w:rFonts w:cs="Times New Roman"/>
    </w:rPr>
  </w:style>
  <w:style w:type="character" w:styleId="Hyperlink">
    <w:name w:val="Hyperlink"/>
    <w:basedOn w:val="DefaultParagraphFont"/>
    <w:uiPriority w:val="99"/>
    <w:rsid w:val="00505A6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05A62"/>
    <w:rPr>
      <w:rFonts w:cs="Times New Roman"/>
      <w:color w:val="954F72"/>
      <w:u w:val="single"/>
    </w:rPr>
  </w:style>
  <w:style w:type="paragraph" w:styleId="FootnoteText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S,o,fn,Znak Zn"/>
    <w:basedOn w:val="Normal"/>
    <w:link w:val="FootnoteTextChar"/>
    <w:uiPriority w:val="99"/>
    <w:rsid w:val="0050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OOTNOTES Char"/>
    <w:basedOn w:val="DefaultParagraphFont"/>
    <w:link w:val="FootnoteText"/>
    <w:uiPriority w:val="99"/>
    <w:locked/>
    <w:rsid w:val="00505A62"/>
    <w:rPr>
      <w:rFonts w:cs="Times New Roman"/>
      <w:sz w:val="20"/>
      <w:szCs w:val="20"/>
    </w:rPr>
  </w:style>
  <w:style w:type="character" w:styleId="FootnoteReference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efaultParagraphFont"/>
    <w:uiPriority w:val="99"/>
    <w:rsid w:val="00505A6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0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A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A6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505A62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05A6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05A62"/>
    <w:rPr>
      <w:rFonts w:cs="Times New Roman"/>
      <w:sz w:val="16"/>
    </w:rPr>
  </w:style>
  <w:style w:type="table" w:customStyle="1" w:styleId="Tabela-Siatka1">
    <w:name w:val="Tabela - Siatka1"/>
    <w:uiPriority w:val="99"/>
    <w:rsid w:val="00505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rozdziaZnak">
    <w:name w:val="Podrozdział Znak"/>
    <w:aliases w:val="Footnote Znak,Podrozdzia3 Znak,Fußnote Znak,-E Fuﬂnotentext Znak,Fuﬂnotentext Ursprung Znak,Fußnotentext Ursprung Znak,-E Fußnotentext Znak,Footnote text Znak,Tekst przypisu Znak Znak Znak Znak Znak1,FOOTNOTES Znak1,o Znak1,fn Znak"/>
    <w:uiPriority w:val="99"/>
    <w:locked/>
    <w:rsid w:val="005E0110"/>
    <w:rPr>
      <w:rFonts w:ascii="Arial" w:hAnsi="Arial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1570</Words>
  <Characters>9423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zmian do Regulaminu konkursu nr RPLU</dc:title>
  <dc:subject/>
  <dc:creator>Katarzyna Ziętara</dc:creator>
  <cp:keywords/>
  <dc:description/>
  <cp:lastModifiedBy>rudzkim</cp:lastModifiedBy>
  <cp:revision>4</cp:revision>
  <cp:lastPrinted>2015-12-14T12:39:00Z</cp:lastPrinted>
  <dcterms:created xsi:type="dcterms:W3CDTF">2015-12-14T12:02:00Z</dcterms:created>
  <dcterms:modified xsi:type="dcterms:W3CDTF">2015-12-14T12:54:00Z</dcterms:modified>
</cp:coreProperties>
</file>