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DA" w:rsidRDefault="004A62DA" w:rsidP="004A62DA">
      <w:pPr>
        <w:jc w:val="center"/>
        <w:rPr>
          <w:rFonts w:ascii="Arial" w:hAnsi="Arial" w:cs="Arial"/>
          <w:b/>
        </w:rPr>
      </w:pPr>
    </w:p>
    <w:tbl>
      <w:tblPr>
        <w:tblStyle w:val="Jasnasiatkaakcent4"/>
        <w:tblpPr w:leftFromText="141" w:rightFromText="141" w:tblpXSpec="center" w:tblpY="426"/>
        <w:tblW w:w="14283" w:type="dxa"/>
        <w:tblLook w:val="04A0" w:firstRow="1" w:lastRow="0" w:firstColumn="1" w:lastColumn="0" w:noHBand="0" w:noVBand="1"/>
      </w:tblPr>
      <w:tblGrid>
        <w:gridCol w:w="3191"/>
        <w:gridCol w:w="1107"/>
        <w:gridCol w:w="1197"/>
        <w:gridCol w:w="1147"/>
        <w:gridCol w:w="969"/>
        <w:gridCol w:w="1287"/>
        <w:gridCol w:w="1167"/>
        <w:gridCol w:w="4218"/>
      </w:tblGrid>
      <w:tr w:rsidR="00874B7D" w:rsidRPr="004A62DA" w:rsidTr="00104676">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4A62DA" w:rsidRDefault="00874B7D" w:rsidP="00104676">
            <w:pPr>
              <w:jc w:val="left"/>
              <w:rPr>
                <w:rFonts w:ascii="Arial" w:eastAsia="Times New Roman" w:hAnsi="Arial" w:cs="Arial"/>
                <w:sz w:val="18"/>
                <w:szCs w:val="18"/>
                <w:lang w:eastAsia="pl-PL"/>
              </w:rPr>
            </w:pPr>
            <w:r w:rsidRPr="004A62DA">
              <w:rPr>
                <w:rFonts w:ascii="Arial" w:eastAsia="Times New Roman" w:hAnsi="Arial" w:cs="Arial"/>
                <w:sz w:val="18"/>
                <w:szCs w:val="18"/>
                <w:lang w:eastAsia="pl-PL"/>
              </w:rPr>
              <w:t>Nazwa wskaźnika</w:t>
            </w:r>
          </w:p>
        </w:tc>
        <w:tc>
          <w:tcPr>
            <w:tcW w:w="1107" w:type="dxa"/>
            <w:vAlign w:val="center"/>
            <w:hideMark/>
          </w:tcPr>
          <w:p w:rsidR="00874B7D" w:rsidRPr="004A62DA" w:rsidRDefault="00874B7D" w:rsidP="00104676">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Jednostka</w:t>
            </w:r>
          </w:p>
        </w:tc>
        <w:tc>
          <w:tcPr>
            <w:tcW w:w="1197" w:type="dxa"/>
            <w:vAlign w:val="center"/>
          </w:tcPr>
          <w:p w:rsidR="00874B7D" w:rsidRPr="004A62DA" w:rsidRDefault="00874B7D" w:rsidP="00104676">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Rodzaj</w:t>
            </w:r>
          </w:p>
        </w:tc>
        <w:tc>
          <w:tcPr>
            <w:tcW w:w="1147" w:type="dxa"/>
            <w:vAlign w:val="center"/>
          </w:tcPr>
          <w:p w:rsidR="00874B7D" w:rsidRPr="004A62DA" w:rsidRDefault="00874B7D" w:rsidP="00104676">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Typ</w:t>
            </w:r>
          </w:p>
        </w:tc>
        <w:tc>
          <w:tcPr>
            <w:tcW w:w="969" w:type="dxa"/>
            <w:vAlign w:val="center"/>
          </w:tcPr>
          <w:p w:rsidR="00874B7D" w:rsidRPr="004A62DA" w:rsidRDefault="00874B7D" w:rsidP="00104676">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Poziom pomiaru</w:t>
            </w:r>
          </w:p>
        </w:tc>
        <w:tc>
          <w:tcPr>
            <w:tcW w:w="1287" w:type="dxa"/>
            <w:vAlign w:val="center"/>
          </w:tcPr>
          <w:p w:rsidR="00874B7D" w:rsidRPr="004A62DA" w:rsidRDefault="00874B7D" w:rsidP="00104676">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Charakter</w:t>
            </w:r>
          </w:p>
        </w:tc>
        <w:tc>
          <w:tcPr>
            <w:tcW w:w="1167" w:type="dxa"/>
            <w:vAlign w:val="center"/>
          </w:tcPr>
          <w:p w:rsidR="00874B7D" w:rsidRPr="004A62DA" w:rsidRDefault="00874B7D" w:rsidP="00104676">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Wskaźnik Ramy Wykonania</w:t>
            </w:r>
          </w:p>
        </w:tc>
        <w:tc>
          <w:tcPr>
            <w:tcW w:w="4218" w:type="dxa"/>
            <w:vAlign w:val="center"/>
          </w:tcPr>
          <w:p w:rsidR="00874B7D" w:rsidRPr="004A62DA" w:rsidRDefault="00874B7D" w:rsidP="001046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116F48">
              <w:rPr>
                <w:rFonts w:ascii="Arial" w:eastAsia="Times New Roman" w:hAnsi="Arial" w:cs="Arial"/>
                <w:sz w:val="18"/>
                <w:szCs w:val="18"/>
                <w:lang w:eastAsia="pl-PL"/>
              </w:rPr>
              <w:t>Definicja wskaźnika</w:t>
            </w:r>
          </w:p>
        </w:tc>
      </w:tr>
      <w:tr w:rsidR="00874B7D" w:rsidRPr="004A62DA" w:rsidTr="00104676">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743714" w:rsidRDefault="00874B7D" w:rsidP="00104676">
            <w:pPr>
              <w:jc w:val="left"/>
              <w:rPr>
                <w:rFonts w:ascii="Arial" w:hAnsi="Arial" w:cs="Arial"/>
                <w:sz w:val="18"/>
                <w:szCs w:val="18"/>
              </w:rPr>
            </w:pPr>
            <w:r w:rsidRPr="00743714">
              <w:rPr>
                <w:rFonts w:ascii="Arial" w:hAnsi="Arial" w:cs="Arial"/>
                <w:sz w:val="18"/>
                <w:szCs w:val="18"/>
              </w:rPr>
              <w:t xml:space="preserve">Liczba przebudowanych obiektów, w których realizowane są usługi aktywizacji </w:t>
            </w:r>
            <w:proofErr w:type="spellStart"/>
            <w:r w:rsidRPr="00743714">
              <w:rPr>
                <w:rFonts w:ascii="Arial" w:hAnsi="Arial" w:cs="Arial"/>
                <w:sz w:val="18"/>
                <w:szCs w:val="18"/>
              </w:rPr>
              <w:t>społeczno</w:t>
            </w:r>
            <w:proofErr w:type="spellEnd"/>
            <w:r w:rsidRPr="00743714">
              <w:rPr>
                <w:rFonts w:ascii="Arial" w:hAnsi="Arial" w:cs="Arial"/>
                <w:sz w:val="18"/>
                <w:szCs w:val="18"/>
              </w:rPr>
              <w:t xml:space="preserve"> - zawodowej</w:t>
            </w:r>
          </w:p>
        </w:tc>
        <w:tc>
          <w:tcPr>
            <w:tcW w:w="1107" w:type="dxa"/>
            <w:vAlign w:val="center"/>
            <w:hideMark/>
          </w:tcPr>
          <w:p w:rsidR="00874B7D" w:rsidRPr="00743714"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3714">
              <w:rPr>
                <w:rFonts w:ascii="Arial" w:hAnsi="Arial" w:cs="Arial"/>
                <w:sz w:val="18"/>
                <w:szCs w:val="18"/>
              </w:rPr>
              <w:t>szt.</w:t>
            </w:r>
          </w:p>
        </w:tc>
        <w:tc>
          <w:tcPr>
            <w:tcW w:w="119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program,</w:t>
            </w: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tc>
        <w:tc>
          <w:tcPr>
            <w:tcW w:w="128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C1329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C1329A">
              <w:rPr>
                <w:rFonts w:ascii="Arial" w:eastAsia="Times New Roman" w:hAnsi="Arial" w:cs="Arial"/>
                <w:sz w:val="18"/>
                <w:szCs w:val="18"/>
                <w:lang w:eastAsia="pl-PL"/>
              </w:rPr>
              <w:t xml:space="preserve">Wskaźnik odnosi się do obiektów służących realizacji usług aktywizacji społeczno-zawodowej, które zostały przebudowane lub rozbudowane w wyniku udzielonego wsparcia. </w:t>
            </w:r>
          </w:p>
          <w:p w:rsidR="00874B7D" w:rsidRPr="00C1329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C1329A">
              <w:rPr>
                <w:rFonts w:ascii="Arial" w:eastAsia="Times New Roman" w:hAnsi="Arial" w:cs="Arial"/>
                <w:sz w:val="18"/>
                <w:szCs w:val="18"/>
                <w:lang w:eastAsia="pl-PL"/>
              </w:rPr>
              <w:t xml:space="preserve">Przez przebudowę należy rozumieć wykonywanie robót budowlanych, w wyniku których następuje zmiana parametrów użytkowych lub technicznych istniejącej infrastruktury, z wyjątkiem charakterystycznych parametrów, jak: kubatura, powierzchnia zabudowy, wysokość, długość, szerokość bądź liczba kondygnacji. </w:t>
            </w:r>
          </w:p>
          <w:p w:rsidR="00874B7D"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C1329A">
              <w:rPr>
                <w:rFonts w:ascii="Arial" w:eastAsia="Times New Roman" w:hAnsi="Arial" w:cs="Arial"/>
                <w:sz w:val="18"/>
                <w:szCs w:val="18"/>
                <w:lang w:eastAsia="pl-PL"/>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p>
        </w:tc>
      </w:tr>
      <w:tr w:rsidR="00874B7D" w:rsidRPr="004A62DA" w:rsidTr="00104676">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743714" w:rsidRDefault="00874B7D" w:rsidP="00104676">
            <w:pPr>
              <w:jc w:val="left"/>
              <w:rPr>
                <w:rFonts w:ascii="Arial" w:hAnsi="Arial" w:cs="Arial"/>
                <w:sz w:val="18"/>
                <w:szCs w:val="18"/>
              </w:rPr>
            </w:pPr>
            <w:r w:rsidRPr="00743714">
              <w:rPr>
                <w:rFonts w:ascii="Arial" w:hAnsi="Arial" w:cs="Arial"/>
                <w:sz w:val="18"/>
                <w:szCs w:val="18"/>
              </w:rPr>
              <w:t>Liczba wybudowanych obiektów, w których realizowane są usługi aktywizacji społeczno-zawodowej</w:t>
            </w:r>
          </w:p>
        </w:tc>
        <w:tc>
          <w:tcPr>
            <w:tcW w:w="1107" w:type="dxa"/>
            <w:vAlign w:val="center"/>
            <w:hideMark/>
          </w:tcPr>
          <w:p w:rsidR="00874B7D" w:rsidRPr="00743714"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3714">
              <w:rPr>
                <w:rFonts w:ascii="Arial" w:hAnsi="Arial" w:cs="Arial"/>
                <w:sz w:val="18"/>
                <w:szCs w:val="18"/>
              </w:rPr>
              <w:t>szt.</w:t>
            </w:r>
          </w:p>
        </w:tc>
        <w:tc>
          <w:tcPr>
            <w:tcW w:w="119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6A5013"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 xml:space="preserve">Wskaźnik odnosi się do obiektów służących realizacji usług aktywizacji społeczno-zawodowej, które zostały wybudowane w wyniku udzielonego wsparcia. </w:t>
            </w:r>
          </w:p>
          <w:p w:rsidR="00874B7D" w:rsidRPr="006A5013"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Zgodnie z prawem budowlanym, budowa oznacza wykonanie obiektu budowlanego w określonym miejscu, a także odbudowę, rozbudowę, nadbudowę obiektu budowlanego.</w:t>
            </w:r>
          </w:p>
          <w:p w:rsidR="00874B7D" w:rsidRPr="006A5013"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 xml:space="preserve">Przez aktywizację społeczno-zawodową należy rozumieć zestaw instrumentów o charakterze </w:t>
            </w:r>
            <w:r w:rsidRPr="006A5013">
              <w:rPr>
                <w:rFonts w:ascii="Arial" w:eastAsia="Times New Roman" w:hAnsi="Arial" w:cs="Arial"/>
                <w:sz w:val="18"/>
                <w:szCs w:val="18"/>
                <w:lang w:eastAsia="pl-PL"/>
              </w:rPr>
              <w:lastRenderedPageBreak/>
              <w:t>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p>
        </w:tc>
      </w:tr>
      <w:tr w:rsidR="00874B7D" w:rsidRPr="004A62DA" w:rsidTr="0010467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743714" w:rsidRDefault="00874B7D" w:rsidP="00104676">
            <w:pPr>
              <w:jc w:val="left"/>
              <w:rPr>
                <w:rFonts w:ascii="Arial" w:hAnsi="Arial" w:cs="Arial"/>
                <w:sz w:val="18"/>
                <w:szCs w:val="18"/>
              </w:rPr>
            </w:pPr>
            <w:r w:rsidRPr="00743714">
              <w:rPr>
                <w:rFonts w:ascii="Arial" w:hAnsi="Arial" w:cs="Arial"/>
                <w:sz w:val="18"/>
                <w:szCs w:val="18"/>
              </w:rPr>
              <w:lastRenderedPageBreak/>
              <w:t xml:space="preserve">Liczba obiektów dostosowanych do potrzeb osób z niepełnosprawnościami  </w:t>
            </w:r>
          </w:p>
        </w:tc>
        <w:tc>
          <w:tcPr>
            <w:tcW w:w="1107" w:type="dxa"/>
            <w:vAlign w:val="center"/>
            <w:hideMark/>
          </w:tcPr>
          <w:p w:rsidR="00874B7D" w:rsidRPr="00743714"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3714">
              <w:rPr>
                <w:rFonts w:ascii="Arial" w:hAnsi="Arial" w:cs="Arial"/>
                <w:sz w:val="18"/>
                <w:szCs w:val="18"/>
              </w:rPr>
              <w:t>szt.</w:t>
            </w:r>
          </w:p>
        </w:tc>
        <w:tc>
          <w:tcPr>
            <w:tcW w:w="119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6A5013"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874B7D" w:rsidRPr="006A5013"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Jako obiekty budowlane należy rozumieć konstrukcje połączone z gruntem w sposób</w:t>
            </w:r>
          </w:p>
          <w:p w:rsidR="00874B7D" w:rsidRPr="006A5013"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trwały, wykonane z materiałów budowlanych i elementów składowych, będące</w:t>
            </w:r>
          </w:p>
          <w:p w:rsidR="00874B7D" w:rsidRPr="006A5013"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wynikiem prac budowlanych (wg. def. PKOB).</w:t>
            </w:r>
          </w:p>
          <w:p w:rsidR="00874B7D" w:rsidRPr="006A5013"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Należy podać liczbę obiektów, a nie sprzętów, urządzeń itp., w które obiekty zaopatrzono.</w:t>
            </w: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Jeśli instytucja, zakład itp. składa się z kilku obiektów, należy zliczyć wszystkie, które dostosowano do potrzeb osób niepełnosprawnych.</w:t>
            </w:r>
          </w:p>
        </w:tc>
      </w:tr>
      <w:tr w:rsidR="00874B7D" w:rsidRPr="006A5013" w:rsidTr="00104676">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743714" w:rsidRDefault="00874B7D" w:rsidP="00104676">
            <w:pPr>
              <w:jc w:val="left"/>
              <w:rPr>
                <w:rFonts w:ascii="Arial" w:hAnsi="Arial" w:cs="Arial"/>
                <w:sz w:val="18"/>
                <w:szCs w:val="18"/>
              </w:rPr>
            </w:pPr>
            <w:r w:rsidRPr="00743714">
              <w:rPr>
                <w:rFonts w:ascii="Arial" w:hAnsi="Arial" w:cs="Arial"/>
                <w:sz w:val="18"/>
                <w:szCs w:val="18"/>
              </w:rPr>
              <w:t>Liczba utworzonych obiektów opieki nad dziećmi do 3 roku życia</w:t>
            </w:r>
          </w:p>
        </w:tc>
        <w:tc>
          <w:tcPr>
            <w:tcW w:w="1107" w:type="dxa"/>
            <w:vAlign w:val="center"/>
            <w:hideMark/>
          </w:tcPr>
          <w:p w:rsidR="00874B7D" w:rsidRPr="00743714"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3714">
              <w:rPr>
                <w:rFonts w:ascii="Arial" w:hAnsi="Arial" w:cs="Arial"/>
                <w:sz w:val="18"/>
                <w:szCs w:val="18"/>
              </w:rPr>
              <w:t>szt.</w:t>
            </w:r>
          </w:p>
        </w:tc>
        <w:tc>
          <w:tcPr>
            <w:tcW w:w="119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374864"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374864">
              <w:rPr>
                <w:rFonts w:ascii="Arial" w:eastAsia="Times New Roman" w:hAnsi="Arial" w:cs="Arial"/>
                <w:sz w:val="18"/>
                <w:szCs w:val="18"/>
                <w:lang w:eastAsia="pl-PL"/>
              </w:rPr>
              <w:t>Do uzupełnienia po publikacji definicji przez Ministerstwo Infrastruktury i Rozwoju</w:t>
            </w:r>
          </w:p>
        </w:tc>
      </w:tr>
      <w:tr w:rsidR="00874B7D" w:rsidRPr="004A62DA" w:rsidTr="0010467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29439D" w:rsidRDefault="00874B7D" w:rsidP="00104676">
            <w:pPr>
              <w:jc w:val="left"/>
              <w:rPr>
                <w:rFonts w:ascii="Arial" w:hAnsi="Arial" w:cs="Arial"/>
                <w:sz w:val="18"/>
                <w:szCs w:val="18"/>
              </w:rPr>
            </w:pPr>
            <w:r w:rsidRPr="0029439D">
              <w:rPr>
                <w:rFonts w:ascii="Arial" w:hAnsi="Arial" w:cs="Arial"/>
                <w:sz w:val="18"/>
                <w:szCs w:val="18"/>
              </w:rPr>
              <w:t>Liczba przebudowanych obiektów infrastruktury opieki nad dziećmi do 3 roku życia</w:t>
            </w:r>
          </w:p>
          <w:p w:rsidR="00874B7D" w:rsidRPr="0029439D" w:rsidRDefault="00874B7D" w:rsidP="00104676">
            <w:pPr>
              <w:jc w:val="left"/>
              <w:rPr>
                <w:rFonts w:ascii="Arial" w:hAnsi="Arial" w:cs="Arial"/>
                <w:sz w:val="18"/>
                <w:szCs w:val="18"/>
              </w:rPr>
            </w:pPr>
          </w:p>
        </w:tc>
        <w:tc>
          <w:tcPr>
            <w:tcW w:w="1107" w:type="dxa"/>
            <w:vAlign w:val="center"/>
            <w:hideMark/>
          </w:tcPr>
          <w:p w:rsidR="00874B7D" w:rsidRPr="00501FBD"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roofErr w:type="spellStart"/>
            <w:r w:rsidRPr="00501FBD">
              <w:rPr>
                <w:rFonts w:ascii="Arial" w:hAnsi="Arial" w:cs="Arial"/>
                <w:sz w:val="18"/>
                <w:szCs w:val="18"/>
                <w:lang w:val="en-US"/>
              </w:rPr>
              <w:t>szt</w:t>
            </w:r>
            <w:proofErr w:type="spellEnd"/>
            <w:r w:rsidRPr="00501FBD">
              <w:rPr>
                <w:rFonts w:ascii="Arial" w:hAnsi="Arial" w:cs="Arial"/>
                <w:sz w:val="18"/>
                <w:szCs w:val="18"/>
                <w:lang w:val="en-US"/>
              </w:rPr>
              <w:t>.</w:t>
            </w:r>
          </w:p>
        </w:tc>
        <w:tc>
          <w:tcPr>
            <w:tcW w:w="1197" w:type="dxa"/>
            <w:vAlign w:val="center"/>
          </w:tcPr>
          <w:p w:rsidR="00874B7D" w:rsidRPr="00501FBD"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pl-PL"/>
              </w:rPr>
            </w:pPr>
            <w:proofErr w:type="spellStart"/>
            <w:r w:rsidRPr="00501FBD">
              <w:rPr>
                <w:rFonts w:ascii="Arial" w:eastAsia="Times New Roman" w:hAnsi="Arial" w:cs="Arial"/>
                <w:sz w:val="18"/>
                <w:szCs w:val="18"/>
                <w:lang w:val="en-US" w:eastAsia="pl-PL"/>
              </w:rPr>
              <w:t>produkt</w:t>
            </w:r>
            <w:proofErr w:type="spellEnd"/>
          </w:p>
        </w:tc>
        <w:tc>
          <w:tcPr>
            <w:tcW w:w="114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specyficzny</w:t>
            </w:r>
          </w:p>
        </w:tc>
        <w:tc>
          <w:tcPr>
            <w:tcW w:w="969"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Do uzupełnienia przez IZ po ewaluacji</w:t>
            </w:r>
          </w:p>
        </w:tc>
      </w:tr>
      <w:tr w:rsidR="00874B7D" w:rsidRPr="004A62DA" w:rsidTr="00104676">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743714" w:rsidRDefault="00874B7D" w:rsidP="00104676">
            <w:pPr>
              <w:jc w:val="left"/>
              <w:rPr>
                <w:rFonts w:ascii="Arial" w:hAnsi="Arial" w:cs="Arial"/>
                <w:sz w:val="18"/>
                <w:szCs w:val="18"/>
              </w:rPr>
            </w:pPr>
            <w:r w:rsidRPr="00743714">
              <w:rPr>
                <w:rFonts w:ascii="Arial" w:hAnsi="Arial" w:cs="Arial"/>
                <w:sz w:val="18"/>
                <w:szCs w:val="18"/>
              </w:rPr>
              <w:t>Potencjał objętej wsparciem infrastruktury w zakresie opieki nad dziećmi lub infrastruktury edukacyjnej (CI35)</w:t>
            </w:r>
          </w:p>
          <w:p w:rsidR="00874B7D" w:rsidRPr="00743714" w:rsidRDefault="00874B7D" w:rsidP="00104676">
            <w:pPr>
              <w:jc w:val="left"/>
              <w:rPr>
                <w:rFonts w:ascii="Arial" w:hAnsi="Arial" w:cs="Arial"/>
                <w:sz w:val="18"/>
                <w:szCs w:val="18"/>
              </w:rPr>
            </w:pPr>
          </w:p>
        </w:tc>
        <w:tc>
          <w:tcPr>
            <w:tcW w:w="1107" w:type="dxa"/>
            <w:vAlign w:val="center"/>
            <w:hideMark/>
          </w:tcPr>
          <w:p w:rsidR="00874B7D" w:rsidRPr="00743714"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3714">
              <w:rPr>
                <w:rFonts w:ascii="Arial" w:hAnsi="Arial" w:cs="Arial"/>
                <w:sz w:val="18"/>
                <w:szCs w:val="18"/>
              </w:rPr>
              <w:t>osoby</w:t>
            </w:r>
          </w:p>
        </w:tc>
        <w:tc>
          <w:tcPr>
            <w:tcW w:w="119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wspólny</w:t>
            </w:r>
          </w:p>
        </w:tc>
        <w:tc>
          <w:tcPr>
            <w:tcW w:w="969"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program,</w:t>
            </w:r>
          </w:p>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tc>
        <w:tc>
          <w:tcPr>
            <w:tcW w:w="128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501FBD"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Liczba użytkowników, którzy mogą korzystać z nowo wybudowanej lub udoskonalonej infrastruktury opieki nad dziećmi lub edukacyjnej.</w:t>
            </w:r>
          </w:p>
          <w:p w:rsidR="00874B7D" w:rsidRPr="00501FBD"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 xml:space="preserve">Przez użytkowników w tym kontekście należy rozumieć dzieci, uczniów lub studentów, nie </w:t>
            </w:r>
            <w:r w:rsidRPr="00501FBD">
              <w:rPr>
                <w:rFonts w:ascii="Arial" w:eastAsia="Times New Roman" w:hAnsi="Arial" w:cs="Arial"/>
                <w:sz w:val="18"/>
                <w:szCs w:val="18"/>
                <w:lang w:eastAsia="pl-PL"/>
              </w:rPr>
              <w:lastRenderedPageBreak/>
              <w:t>należy uwzględniać nauczycieli, rodziców lub inne osoby, które mogą także korzystać z usprawnionej infrastruktury.</w:t>
            </w:r>
          </w:p>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 xml:space="preserve">Wskaźnik dotyczy nowych lub udoskonalonych budynków, lub nowego doposażenia w ramach programu. Wskaźnik mierzy nominalną wydajność (np. liczbę potencjalnych użytkowników, która jest zwykle wyższa lub równa liczbie rzeczywistych użytkowników. </w:t>
            </w:r>
            <w:proofErr w:type="spellStart"/>
            <w:r w:rsidRPr="00501FBD">
              <w:rPr>
                <w:rFonts w:ascii="Arial" w:eastAsia="Times New Roman" w:hAnsi="Arial" w:cs="Arial"/>
                <w:sz w:val="18"/>
                <w:szCs w:val="18"/>
                <w:lang w:val="en-US" w:eastAsia="pl-PL"/>
              </w:rPr>
              <w:t>Zgodnie</w:t>
            </w:r>
            <w:proofErr w:type="spellEnd"/>
            <w:r w:rsidRPr="00501FBD">
              <w:rPr>
                <w:rFonts w:ascii="Arial" w:eastAsia="Times New Roman" w:hAnsi="Arial" w:cs="Arial"/>
                <w:sz w:val="18"/>
                <w:szCs w:val="18"/>
                <w:lang w:val="en-US" w:eastAsia="pl-PL"/>
              </w:rPr>
              <w:t xml:space="preserve"> z </w:t>
            </w:r>
            <w:proofErr w:type="spellStart"/>
            <w:r w:rsidRPr="00501FBD">
              <w:rPr>
                <w:rFonts w:ascii="Arial" w:eastAsia="Times New Roman" w:hAnsi="Arial" w:cs="Arial"/>
                <w:sz w:val="18"/>
                <w:szCs w:val="18"/>
                <w:lang w:val="en-US" w:eastAsia="pl-PL"/>
              </w:rPr>
              <w:t>informacjami</w:t>
            </w:r>
            <w:proofErr w:type="spellEnd"/>
            <w:r w:rsidRPr="00501FBD">
              <w:rPr>
                <w:rFonts w:ascii="Arial" w:eastAsia="Times New Roman" w:hAnsi="Arial" w:cs="Arial"/>
                <w:sz w:val="18"/>
                <w:szCs w:val="18"/>
                <w:lang w:val="en-US" w:eastAsia="pl-PL"/>
              </w:rPr>
              <w:t xml:space="preserve"> </w:t>
            </w:r>
            <w:proofErr w:type="spellStart"/>
            <w:r w:rsidRPr="00501FBD">
              <w:rPr>
                <w:rFonts w:ascii="Arial" w:eastAsia="Times New Roman" w:hAnsi="Arial" w:cs="Arial"/>
                <w:sz w:val="18"/>
                <w:szCs w:val="18"/>
                <w:lang w:val="en-US" w:eastAsia="pl-PL"/>
              </w:rPr>
              <w:t>zawartymi</w:t>
            </w:r>
            <w:proofErr w:type="spellEnd"/>
            <w:r w:rsidRPr="00501FBD">
              <w:rPr>
                <w:rFonts w:ascii="Arial" w:eastAsia="Times New Roman" w:hAnsi="Arial" w:cs="Arial"/>
                <w:sz w:val="18"/>
                <w:szCs w:val="18"/>
                <w:lang w:val="en-US" w:eastAsia="pl-PL"/>
              </w:rPr>
              <w:t xml:space="preserve"> w </w:t>
            </w:r>
            <w:proofErr w:type="spellStart"/>
            <w:r w:rsidRPr="00501FBD">
              <w:rPr>
                <w:rFonts w:ascii="Arial" w:eastAsia="Times New Roman" w:hAnsi="Arial" w:cs="Arial"/>
                <w:sz w:val="18"/>
                <w:szCs w:val="18"/>
                <w:lang w:val="en-US" w:eastAsia="pl-PL"/>
              </w:rPr>
              <w:t>definicji</w:t>
            </w:r>
            <w:proofErr w:type="spellEnd"/>
          </w:p>
        </w:tc>
      </w:tr>
      <w:tr w:rsidR="00874B7D" w:rsidRPr="004A62DA" w:rsidTr="0010467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743714" w:rsidRDefault="00874B7D" w:rsidP="00104676">
            <w:pPr>
              <w:jc w:val="left"/>
              <w:rPr>
                <w:rFonts w:ascii="Arial" w:hAnsi="Arial" w:cs="Arial"/>
                <w:sz w:val="18"/>
                <w:szCs w:val="18"/>
              </w:rPr>
            </w:pPr>
            <w:r w:rsidRPr="00743714">
              <w:rPr>
                <w:rFonts w:ascii="Arial" w:hAnsi="Arial" w:cs="Arial"/>
                <w:sz w:val="18"/>
                <w:szCs w:val="18"/>
              </w:rPr>
              <w:lastRenderedPageBreak/>
              <w:t>Potencjalna liczba użytkowników usług aktywizacji społeczno-zawodowej świadczonych we wspartych obiektach</w:t>
            </w:r>
          </w:p>
          <w:p w:rsidR="00874B7D" w:rsidRPr="003611D0" w:rsidRDefault="00874B7D" w:rsidP="00104676">
            <w:pPr>
              <w:jc w:val="left"/>
              <w:rPr>
                <w:rFonts w:ascii="Arial" w:hAnsi="Arial" w:cs="Arial"/>
                <w:sz w:val="18"/>
                <w:szCs w:val="18"/>
              </w:rPr>
            </w:pPr>
          </w:p>
        </w:tc>
        <w:tc>
          <w:tcPr>
            <w:tcW w:w="1107" w:type="dxa"/>
            <w:vAlign w:val="center"/>
            <w:hideMark/>
          </w:tcPr>
          <w:p w:rsidR="00874B7D" w:rsidRPr="00743714"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3714">
              <w:rPr>
                <w:rFonts w:ascii="Arial" w:hAnsi="Arial" w:cs="Arial"/>
                <w:sz w:val="18"/>
                <w:szCs w:val="18"/>
              </w:rPr>
              <w:t>osoby</w:t>
            </w:r>
          </w:p>
        </w:tc>
        <w:tc>
          <w:tcPr>
            <w:tcW w:w="119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specyficzny</w:t>
            </w:r>
          </w:p>
        </w:tc>
        <w:tc>
          <w:tcPr>
            <w:tcW w:w="969"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374864">
              <w:rPr>
                <w:rFonts w:ascii="Arial" w:eastAsia="Times New Roman" w:hAnsi="Arial" w:cs="Arial"/>
                <w:sz w:val="18"/>
                <w:szCs w:val="18"/>
                <w:lang w:eastAsia="pl-PL"/>
              </w:rPr>
              <w:t>Do uzupełnienia przez IZ po ewaluacji</w:t>
            </w:r>
          </w:p>
        </w:tc>
      </w:tr>
      <w:tr w:rsidR="00874B7D" w:rsidRPr="008E2483" w:rsidTr="00104676">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4A62DA" w:rsidRDefault="00874B7D" w:rsidP="00104676">
            <w:pPr>
              <w:jc w:val="left"/>
              <w:rPr>
                <w:rFonts w:ascii="Arial" w:hAnsi="Arial" w:cs="Arial"/>
                <w:sz w:val="18"/>
                <w:szCs w:val="18"/>
              </w:rPr>
            </w:pPr>
            <w:r w:rsidRPr="004A62DA">
              <w:rPr>
                <w:rFonts w:ascii="Arial" w:hAnsi="Arial" w:cs="Arial"/>
                <w:sz w:val="18"/>
                <w:szCs w:val="18"/>
              </w:rPr>
              <w:t>Wzrost zatrudnienia we wspieranych podmiotach (innych niż przedsiębiorstwa)</w:t>
            </w:r>
          </w:p>
        </w:tc>
        <w:tc>
          <w:tcPr>
            <w:tcW w:w="1107" w:type="dxa"/>
            <w:vAlign w:val="center"/>
            <w:hideMark/>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A62DA">
              <w:rPr>
                <w:rFonts w:ascii="Arial" w:hAnsi="Arial" w:cs="Arial"/>
                <w:sz w:val="18"/>
                <w:szCs w:val="18"/>
              </w:rPr>
              <w:t>EPC</w:t>
            </w:r>
          </w:p>
        </w:tc>
        <w:tc>
          <w:tcPr>
            <w:tcW w:w="119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rezultat bezpośredni</w:t>
            </w:r>
          </w:p>
        </w:tc>
        <w:tc>
          <w:tcPr>
            <w:tcW w:w="114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4E0270"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Nowe miejsca pracy brutto we wspartych podmiotach (innych niż przedsiębiorstwa) w przeliczeniu na ekwiwalenty pełnego czasu pracy (EPC) - umowa o prace.</w:t>
            </w:r>
          </w:p>
          <w:p w:rsidR="00874B7D" w:rsidRPr="004E0270"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w:t>
            </w:r>
          </w:p>
          <w:p w:rsidR="00874B7D" w:rsidRPr="004E0270"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Jeśli łączne zatrudnienie w podmiocie nie wzrasta, wartość jest równa zero - jest to traktowane jako wyrównanie, a nie zwiększenie. Zachowane itp. miejsca pracy nie są wliczane.</w:t>
            </w:r>
          </w:p>
          <w:p w:rsidR="00874B7D" w:rsidRPr="004E0270"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Brutto: Nie bierze się po uwagę pochodzenia pracownika dopóki bezpośrednio przyczynia się do wzrostu łącznego zatrudnienia w danej organizacji. Wskaźnik powinien być stosowany, jeśli wzrost zatrudnienia może być wiarygodnie przypisany do wsparcia.</w:t>
            </w:r>
          </w:p>
          <w:p w:rsidR="00874B7D" w:rsidRPr="004E0270"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 xml:space="preserve">Ekwiwalent pełnego czasu pracy: Praca może być na pełen etat, w niepełnym wymiarze czasu pracy lub sezonowa. Sezonowe i niepełne etaty zostaną przeliczone na EPC za pomocą standardów </w:t>
            </w:r>
            <w:r w:rsidRPr="004E0270">
              <w:rPr>
                <w:rFonts w:ascii="Arial" w:eastAsia="Times New Roman" w:hAnsi="Arial" w:cs="Arial"/>
                <w:sz w:val="18"/>
                <w:szCs w:val="18"/>
                <w:lang w:eastAsia="pl-PL"/>
              </w:rPr>
              <w:lastRenderedPageBreak/>
              <w:t>Międzynarodowej Organizacji Pracy/ statystycznych / innych.</w:t>
            </w:r>
          </w:p>
          <w:p w:rsidR="00874B7D" w:rsidRPr="004E0270"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 xml:space="preserve">Trwałość: Zgodnie z art. 71 rozporządzenia ogólnego zachowanie trwałości miejsc pracy wynosi 3 lata od wniosku o płatność końcową.  </w:t>
            </w:r>
          </w:p>
        </w:tc>
      </w:tr>
      <w:tr w:rsidR="00874B7D" w:rsidRPr="004A62DA" w:rsidTr="0010467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4A62DA" w:rsidRDefault="00874B7D" w:rsidP="00104676">
            <w:pPr>
              <w:jc w:val="left"/>
              <w:rPr>
                <w:rFonts w:ascii="Arial" w:hAnsi="Arial" w:cs="Arial"/>
                <w:sz w:val="18"/>
                <w:szCs w:val="18"/>
              </w:rPr>
            </w:pPr>
            <w:r w:rsidRPr="004A62DA">
              <w:rPr>
                <w:rFonts w:ascii="Arial" w:hAnsi="Arial" w:cs="Arial"/>
                <w:sz w:val="18"/>
                <w:szCs w:val="18"/>
              </w:rPr>
              <w:lastRenderedPageBreak/>
              <w:t>Liczba utrzymanych miejsc pracy</w:t>
            </w:r>
          </w:p>
        </w:tc>
        <w:tc>
          <w:tcPr>
            <w:tcW w:w="1107" w:type="dxa"/>
            <w:vAlign w:val="center"/>
            <w:hideMark/>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A62DA">
              <w:rPr>
                <w:rFonts w:ascii="Arial" w:hAnsi="Arial" w:cs="Arial"/>
                <w:sz w:val="18"/>
                <w:szCs w:val="18"/>
              </w:rPr>
              <w:t>EPC</w:t>
            </w:r>
          </w:p>
        </w:tc>
        <w:tc>
          <w:tcPr>
            <w:tcW w:w="119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rezultat bezpośredni</w:t>
            </w:r>
          </w:p>
        </w:tc>
        <w:tc>
          <w:tcPr>
            <w:tcW w:w="114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4E0270"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Nowo utworzone miejsca pracy w wyniku projektu , które nie powodują wzrostu zatrudnienia w organizacji, a więc nie spełniają definicji wskaźnika Wzrost zatrudnienia we wspieranych podmiotach (innych niż przedsiębiorstwa) tylko w tym zakresie.</w:t>
            </w:r>
          </w:p>
          <w:p w:rsidR="00874B7D" w:rsidRPr="004E0270"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Ekwiwalent pełnego czasu pracy: Praca może być na pełen etat, w niepełnym wymiarze czasu pracy lub sezonowa. Sezonowe i niepełne etaty zostaną przeliczone na EPC za pomocą standardów Międzynarodowej Organizacji Pracy/ statystycznych / innych.</w:t>
            </w: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Trwałość: Zgodnie z art. 71 rozporządzenia ogólnego zachowanie trwałości miejsc pracy wynosi 3 lata od wniosku o płatność końcową.</w:t>
            </w:r>
          </w:p>
        </w:tc>
      </w:tr>
      <w:tr w:rsidR="00874B7D" w:rsidRPr="004A62DA" w:rsidTr="00104676">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4A62DA" w:rsidRDefault="00874B7D" w:rsidP="00104676">
            <w:pPr>
              <w:jc w:val="left"/>
              <w:rPr>
                <w:rFonts w:ascii="Arial" w:hAnsi="Arial" w:cs="Arial"/>
                <w:sz w:val="18"/>
                <w:szCs w:val="18"/>
              </w:rPr>
            </w:pPr>
            <w:r w:rsidRPr="004A62DA">
              <w:rPr>
                <w:rFonts w:ascii="Arial" w:hAnsi="Arial" w:cs="Arial"/>
                <w:sz w:val="18"/>
                <w:szCs w:val="18"/>
              </w:rPr>
              <w:t>Liczba nowo utworzonych miejsc pracy - pozostałe formy</w:t>
            </w:r>
          </w:p>
        </w:tc>
        <w:tc>
          <w:tcPr>
            <w:tcW w:w="1107" w:type="dxa"/>
            <w:vAlign w:val="center"/>
            <w:hideMark/>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A62DA">
              <w:rPr>
                <w:rFonts w:ascii="Arial" w:hAnsi="Arial" w:cs="Arial"/>
                <w:sz w:val="18"/>
                <w:szCs w:val="18"/>
              </w:rPr>
              <w:t>EPC</w:t>
            </w:r>
          </w:p>
        </w:tc>
        <w:tc>
          <w:tcPr>
            <w:tcW w:w="119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rezultat bezpośredni</w:t>
            </w:r>
          </w:p>
        </w:tc>
        <w:tc>
          <w:tcPr>
            <w:tcW w:w="114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874B7D" w:rsidRPr="003611D0"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3611D0"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E0270">
              <w:rPr>
                <w:rFonts w:ascii="Arial" w:eastAsia="Times New Roman" w:hAnsi="Arial" w:cs="Arial"/>
                <w:sz w:val="18"/>
                <w:szCs w:val="18"/>
                <w:lang w:eastAsia="pl-PL"/>
              </w:rPr>
              <w:t>Nowo utworzone miejsce pracy w wyniku realizacji projektu, nie spełniające żadnej z ww. definicji wskaźników (ani wskaźnika  Wzrost zatrudnienia we wspieranych podmiotach (innych niż przedsiębiorstwa), ani wskaźnika  Liczba utrzymanych miejsc pracy). Do wskaźnika wlicza się np. umowy cywilnoprawne, miejsca pracy do obsługi projektu, nietrwałe miejsca pracy.</w:t>
            </w:r>
          </w:p>
        </w:tc>
      </w:tr>
      <w:tr w:rsidR="00874B7D" w:rsidRPr="004A62DA" w:rsidTr="0010467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4A62DA" w:rsidRDefault="00874B7D" w:rsidP="00104676">
            <w:pPr>
              <w:jc w:val="left"/>
              <w:rPr>
                <w:rFonts w:ascii="Arial" w:hAnsi="Arial" w:cs="Arial"/>
                <w:sz w:val="18"/>
                <w:szCs w:val="18"/>
              </w:rPr>
            </w:pPr>
            <w:r w:rsidRPr="004A62DA">
              <w:rPr>
                <w:rFonts w:ascii="Arial" w:hAnsi="Arial" w:cs="Arial"/>
                <w:sz w:val="18"/>
                <w:szCs w:val="18"/>
              </w:rPr>
              <w:t>Liczba osób objętych szkoleniami / doradztwem w zakresie kompetencji cyfrowych</w:t>
            </w:r>
          </w:p>
        </w:tc>
        <w:tc>
          <w:tcPr>
            <w:tcW w:w="1107" w:type="dxa"/>
            <w:vAlign w:val="center"/>
            <w:hideMark/>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A62DA">
              <w:rPr>
                <w:rFonts w:ascii="Arial" w:hAnsi="Arial" w:cs="Arial"/>
                <w:sz w:val="18"/>
                <w:szCs w:val="18"/>
              </w:rPr>
              <w:t>osoby</w:t>
            </w:r>
          </w:p>
        </w:tc>
        <w:tc>
          <w:tcPr>
            <w:tcW w:w="119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4A62DA" w:rsidRDefault="00874B7D" w:rsidP="0010467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Liczba osób objętych szkoleniami / doradztwem w zakresie kompetencji cyfrowych</w:t>
            </w:r>
          </w:p>
        </w:tc>
      </w:tr>
      <w:tr w:rsidR="00874B7D" w:rsidRPr="004A62DA" w:rsidTr="00104676">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874B7D" w:rsidRPr="004A62DA" w:rsidRDefault="00874B7D" w:rsidP="00104676">
            <w:pPr>
              <w:jc w:val="left"/>
              <w:rPr>
                <w:rFonts w:ascii="Arial" w:hAnsi="Arial" w:cs="Arial"/>
                <w:sz w:val="18"/>
                <w:szCs w:val="18"/>
              </w:rPr>
            </w:pPr>
            <w:r w:rsidRPr="004A62DA">
              <w:rPr>
                <w:rFonts w:ascii="Arial" w:hAnsi="Arial" w:cs="Arial"/>
                <w:sz w:val="18"/>
                <w:szCs w:val="18"/>
              </w:rPr>
              <w:t>Liczba projektów, w których sfinansowano koszty racjonalnych usprawnień dla osób z niepełnosprawnościami</w:t>
            </w:r>
          </w:p>
        </w:tc>
        <w:tc>
          <w:tcPr>
            <w:tcW w:w="1107" w:type="dxa"/>
            <w:vAlign w:val="center"/>
            <w:hideMark/>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A62DA">
              <w:rPr>
                <w:rFonts w:ascii="Arial" w:hAnsi="Arial" w:cs="Arial"/>
                <w:sz w:val="18"/>
                <w:szCs w:val="18"/>
              </w:rPr>
              <w:t>szt.</w:t>
            </w:r>
          </w:p>
        </w:tc>
        <w:tc>
          <w:tcPr>
            <w:tcW w:w="119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18" w:type="dxa"/>
          </w:tcPr>
          <w:p w:rsidR="00874B7D" w:rsidRPr="004A62DA" w:rsidRDefault="00874B7D" w:rsidP="0010467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Liczba projektów, w których sfinansowano koszty racjonalnych usprawnień dla osób z niepełnosprawnościami</w:t>
            </w:r>
          </w:p>
        </w:tc>
      </w:tr>
    </w:tbl>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jc w:val="center"/>
        <w:rPr>
          <w:rFonts w:ascii="Arial" w:hAnsi="Arial" w:cs="Arial"/>
          <w:b/>
        </w:rPr>
      </w:pPr>
    </w:p>
    <w:p w:rsidR="00874B7D" w:rsidRDefault="00874B7D" w:rsidP="00874B7D">
      <w:pPr>
        <w:rPr>
          <w:rFonts w:ascii="Arial" w:hAnsi="Arial" w:cs="Arial"/>
          <w:b/>
        </w:rPr>
      </w:pPr>
    </w:p>
    <w:p w:rsidR="00874B7D" w:rsidRDefault="00874B7D" w:rsidP="00874B7D">
      <w:pPr>
        <w:jc w:val="center"/>
        <w:rPr>
          <w:rFonts w:ascii="Arial" w:hAnsi="Arial" w:cs="Arial"/>
          <w:b/>
        </w:rPr>
      </w:pPr>
    </w:p>
    <w:p w:rsidR="00874B7D" w:rsidRDefault="00874B7D" w:rsidP="00874B7D">
      <w:r>
        <w:t xml:space="preserve">Zgodnie z Wytycznymi w zakresie monitorowania postępów rzeczowych realizacji programów operacyjnych na lata 2014-2020 Beneficjent ma obowiązek wybrać wszystkie adekwatne do zakresu projektu wskaźniki kluczowe (z listy WLWK). </w:t>
      </w:r>
    </w:p>
    <w:p w:rsidR="00874B7D" w:rsidRDefault="00874B7D" w:rsidP="00874B7D">
      <w:r>
        <w:t>By spełnić wymogi MIR a także zagwarantować sprawną realizację programu, na etapie oceny formalnej (kryteria formalne poprawności) wniosku o dofinansowanie sprawdzane jest c</w:t>
      </w:r>
      <w:r w:rsidRPr="00BE17D7">
        <w:t>zy projekt zakłada wskaźniki adekwatne do zakresu rzeczowego i czy wybrano wszystkie adekwatne wskaźniki (w tym w</w:t>
      </w:r>
      <w:r>
        <w:t>skaźniki z ram wykonania).</w:t>
      </w:r>
    </w:p>
    <w:p w:rsidR="00874B7D" w:rsidRDefault="00874B7D" w:rsidP="00874B7D">
      <w:r>
        <w:t xml:space="preserve">Ponadto, by zagwarantować sprawne wdrażanie RPO, wobec tych ze wskaźników umieszczonych w </w:t>
      </w:r>
      <w:proofErr w:type="spellStart"/>
      <w:r>
        <w:t>SzOOP</w:t>
      </w:r>
      <w:proofErr w:type="spellEnd"/>
      <w:r>
        <w:t>, które są mierzone również na poziomie programu (w tym wskaźniki RW) dokonywana jest ocena efektywności kosztowej uzyskania jednej jednostki danego wskaźnika na etapie oceny merytorycznej wniosku o dofinansowanie (kryteria trafności merytorycznej – kryteria skuteczności/efektywności). W przypadku podpisania umowy jakiekolwiek zmiany w wartościach docelowych tych wskaźników skutkują ponowną oceną merytoryczną wniosku.</w:t>
      </w:r>
    </w:p>
    <w:p w:rsidR="00874B7D" w:rsidRDefault="00874B7D" w:rsidP="00874B7D"/>
    <w:p w:rsidR="00874B7D" w:rsidRPr="00CE6D64" w:rsidRDefault="00874B7D" w:rsidP="00874B7D">
      <w:pPr>
        <w:rPr>
          <w:b/>
        </w:rPr>
      </w:pPr>
      <w:r w:rsidRPr="00CE6D64">
        <w:rPr>
          <w:b/>
        </w:rPr>
        <w:t xml:space="preserve">W momencie uzupełnienia przez IZ w efekcie przeprowadzenia badania ewaluacyjnego brakujących wskaźników rezultatu bezpośredniego Beneficjent ma obowiązek zaktualizować wniosek o dofinansowanie umieszczając wszystkie adekwatne do zakresu projektu wskaźniki rezultatu bezpośredniego. </w:t>
      </w:r>
    </w:p>
    <w:p w:rsidR="00874B7D" w:rsidRDefault="00874B7D" w:rsidP="00874B7D"/>
    <w:p w:rsidR="00874B7D" w:rsidRDefault="00874B7D" w:rsidP="00874B7D">
      <w:r>
        <w:t xml:space="preserve">Wybrane z listy umieszczonej w </w:t>
      </w:r>
      <w:proofErr w:type="spellStart"/>
      <w:r>
        <w:t>SzOOP</w:t>
      </w:r>
      <w:proofErr w:type="spellEnd"/>
      <w:r>
        <w:t xml:space="preserve"> wskaźniki produktu i rezultatu bezpośredniego w danym projekcie podlegają monitorowaniu w trakcie postępów realizacji projektu:</w:t>
      </w:r>
    </w:p>
    <w:p w:rsidR="00874B7D" w:rsidRDefault="00874B7D" w:rsidP="00874B7D">
      <w:r>
        <w:t>- wskaźniki produktu – wykazywane są we wniosku o płatność za okres, w którym osiągnięto daną wartość wskaźnika, przy czym osiągnięte wartości powinny zostać wykazane najpóźniej we wniosku o płatność końcową,</w:t>
      </w:r>
    </w:p>
    <w:p w:rsidR="00874B7D" w:rsidRDefault="00874B7D" w:rsidP="00874B7D">
      <w:r>
        <w:lastRenderedPageBreak/>
        <w:t>- wskaźniki rezultatu bezpośredniego – wykazywane są co do zasady w okresie 12 miesięcy od zakończenia okresu realizacji projektu określonego w umowie/decyzji o dofinansowaniu projektu lub, o ile wynika to ze specyfiki projektu, od uruchomienia przedsięwzięcia, bądź też w okresie trwałości projektu, na zasadach określonych przez IZ - w przypadku wskaźników, których termin realizacji został wydłużony na wniosek beneficjenta i za zgodą IZ, przy czym osiągnięte wartości wykazywane są w korekcie do wniosku o płatność końcową.</w:t>
      </w:r>
    </w:p>
    <w:p w:rsidR="00874B7D" w:rsidRDefault="00874B7D" w:rsidP="00874B7D"/>
    <w:p w:rsidR="00874B7D" w:rsidRDefault="00874B7D" w:rsidP="00874B7D">
      <w:r>
        <w:t xml:space="preserve">Oprócz wskaźników o charakterze rozliczeniowym (produkt i rezultat bezpośredni znajdujący się w </w:t>
      </w:r>
      <w:proofErr w:type="spellStart"/>
      <w:r>
        <w:t>SzOOP</w:t>
      </w:r>
      <w:proofErr w:type="spellEnd"/>
      <w:r>
        <w:t>) Beneficjent ma również obowiązek monitorować w ramach projektów wskaźniki o charakterze informacyjnym, z osiągnięcia których nie jest rozliczany.</w:t>
      </w:r>
    </w:p>
    <w:p w:rsidR="00874B7D" w:rsidRPr="004A62DA" w:rsidRDefault="00874B7D" w:rsidP="00874B7D">
      <w:pPr>
        <w:rPr>
          <w:rFonts w:ascii="Arial" w:hAnsi="Arial" w:cs="Arial"/>
          <w:b/>
        </w:rPr>
      </w:pPr>
    </w:p>
    <w:p w:rsidR="00116F48" w:rsidRDefault="00116F48" w:rsidP="004A62DA">
      <w:pPr>
        <w:jc w:val="center"/>
        <w:rPr>
          <w:rFonts w:ascii="Arial" w:hAnsi="Arial" w:cs="Arial"/>
          <w:b/>
        </w:rPr>
      </w:pPr>
    </w:p>
    <w:p w:rsidR="00116F48" w:rsidRDefault="00116F48" w:rsidP="004A62DA">
      <w:pPr>
        <w:jc w:val="center"/>
        <w:rPr>
          <w:rFonts w:ascii="Arial" w:hAnsi="Arial" w:cs="Arial"/>
          <w:b/>
        </w:rPr>
      </w:pPr>
    </w:p>
    <w:p w:rsidR="00116F48" w:rsidRDefault="00116F48" w:rsidP="004A62DA">
      <w:pPr>
        <w:jc w:val="center"/>
        <w:rPr>
          <w:rFonts w:ascii="Arial" w:hAnsi="Arial" w:cs="Arial"/>
          <w:b/>
        </w:rPr>
      </w:pPr>
    </w:p>
    <w:p w:rsidR="00116F48" w:rsidRDefault="00116F48" w:rsidP="004A62DA">
      <w:pPr>
        <w:jc w:val="center"/>
        <w:rPr>
          <w:rFonts w:ascii="Arial" w:hAnsi="Arial" w:cs="Arial"/>
          <w:b/>
        </w:rPr>
      </w:pPr>
    </w:p>
    <w:p w:rsidR="00116F48" w:rsidRDefault="00116F48" w:rsidP="004A62DA">
      <w:pPr>
        <w:jc w:val="center"/>
        <w:rPr>
          <w:rFonts w:ascii="Arial" w:hAnsi="Arial" w:cs="Arial"/>
          <w:b/>
        </w:rPr>
      </w:pPr>
    </w:p>
    <w:p w:rsidR="00116F48" w:rsidRDefault="00116F48" w:rsidP="004A62DA">
      <w:pPr>
        <w:jc w:val="center"/>
        <w:rPr>
          <w:rFonts w:ascii="Arial" w:hAnsi="Arial" w:cs="Arial"/>
          <w:b/>
        </w:rPr>
      </w:pPr>
    </w:p>
    <w:p w:rsidR="00116F48" w:rsidRDefault="00116F48" w:rsidP="004A62DA">
      <w:pPr>
        <w:jc w:val="center"/>
        <w:rPr>
          <w:rFonts w:ascii="Arial" w:hAnsi="Arial" w:cs="Arial"/>
          <w:b/>
        </w:rPr>
      </w:pPr>
    </w:p>
    <w:p w:rsidR="00116F48" w:rsidRDefault="00116F48" w:rsidP="004A62DA">
      <w:pPr>
        <w:jc w:val="center"/>
        <w:rPr>
          <w:rFonts w:ascii="Arial" w:hAnsi="Arial" w:cs="Arial"/>
          <w:b/>
        </w:rPr>
      </w:pPr>
    </w:p>
    <w:p w:rsidR="00116F48" w:rsidRDefault="00116F48" w:rsidP="004A62DA">
      <w:pPr>
        <w:jc w:val="center"/>
        <w:rPr>
          <w:rFonts w:ascii="Arial" w:hAnsi="Arial" w:cs="Arial"/>
          <w:b/>
        </w:rPr>
      </w:pPr>
    </w:p>
    <w:sectPr w:rsidR="00116F48" w:rsidSect="00640997">
      <w:headerReference w:type="even" r:id="rId8"/>
      <w:headerReference w:type="default" r:id="rId9"/>
      <w:footerReference w:type="even" r:id="rId10"/>
      <w:footerReference w:type="default" r:id="rId11"/>
      <w:headerReference w:type="first" r:id="rId12"/>
      <w:footerReference w:type="first" r:id="rId13"/>
      <w:pgSz w:w="16838" w:h="11906" w:orient="landscape"/>
      <w:pgMar w:top="1985" w:right="1417" w:bottom="1417" w:left="1417"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82" w:rsidRDefault="00B63B82" w:rsidP="004A62DA">
      <w:pPr>
        <w:spacing w:line="240" w:lineRule="auto"/>
      </w:pPr>
      <w:r>
        <w:separator/>
      </w:r>
    </w:p>
  </w:endnote>
  <w:endnote w:type="continuationSeparator" w:id="0">
    <w:p w:rsidR="00B63B82" w:rsidRDefault="00B63B82" w:rsidP="004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97" w:rsidRDefault="006409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10" w:rsidRDefault="00B62610" w:rsidP="00B62610">
    <w:pPr>
      <w:pStyle w:val="Stopka"/>
      <w:jc w:val="center"/>
    </w:pPr>
    <w:r>
      <w:rPr>
        <w:noProof/>
        <w:lang w:eastAsia="pl-PL"/>
      </w:rPr>
      <w:drawing>
        <wp:inline distT="0" distB="0" distL="0" distR="0" wp14:anchorId="385C48D3" wp14:editId="47628C56">
          <wp:extent cx="4752340" cy="542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340" cy="5429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97" w:rsidRDefault="00640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82" w:rsidRDefault="00B63B82" w:rsidP="004A62DA">
      <w:pPr>
        <w:spacing w:line="240" w:lineRule="auto"/>
      </w:pPr>
      <w:r>
        <w:separator/>
      </w:r>
    </w:p>
  </w:footnote>
  <w:footnote w:type="continuationSeparator" w:id="0">
    <w:p w:rsidR="00B63B82" w:rsidRDefault="00B63B82" w:rsidP="004A62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97" w:rsidRDefault="006409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97" w:rsidRDefault="00640997" w:rsidP="00640997">
    <w:pPr>
      <w:pStyle w:val="Nagwek"/>
      <w:jc w:val="right"/>
      <w:rPr>
        <w:i/>
        <w:sz w:val="16"/>
        <w:szCs w:val="16"/>
      </w:rPr>
    </w:pPr>
    <w:bookmarkStart w:id="0" w:name="_GoBack"/>
    <w:bookmarkEnd w:id="0"/>
    <w:r w:rsidRPr="007A77A5">
      <w:rPr>
        <w:i/>
        <w:sz w:val="16"/>
        <w:szCs w:val="16"/>
      </w:rPr>
      <w:t xml:space="preserve">Załącznik nr 5 </w:t>
    </w:r>
  </w:p>
  <w:p w:rsidR="00640997" w:rsidRPr="007A77A5" w:rsidRDefault="00640997" w:rsidP="00640997">
    <w:pPr>
      <w:pStyle w:val="Nagwek"/>
      <w:jc w:val="right"/>
      <w:rPr>
        <w:i/>
        <w:sz w:val="16"/>
        <w:szCs w:val="16"/>
      </w:rPr>
    </w:pPr>
    <w:r w:rsidRPr="007A77A5">
      <w:rPr>
        <w:i/>
        <w:sz w:val="16"/>
        <w:szCs w:val="16"/>
      </w:rPr>
      <w:t xml:space="preserve">do Regulaminu konkursu </w:t>
    </w:r>
  </w:p>
  <w:p w:rsidR="00640997" w:rsidRPr="007A77A5" w:rsidRDefault="00640997" w:rsidP="00640997">
    <w:pPr>
      <w:pStyle w:val="Nagwek"/>
      <w:jc w:val="right"/>
      <w:rPr>
        <w:i/>
        <w:sz w:val="16"/>
        <w:szCs w:val="16"/>
      </w:rPr>
    </w:pPr>
    <w:r w:rsidRPr="007A77A5">
      <w:rPr>
        <w:i/>
        <w:sz w:val="16"/>
        <w:szCs w:val="16"/>
      </w:rPr>
      <w:t xml:space="preserve">- opis wskaźników w ramach Działania </w:t>
    </w:r>
    <w:r>
      <w:rPr>
        <w:i/>
        <w:sz w:val="16"/>
        <w:szCs w:val="16"/>
      </w:rPr>
      <w:t>13.2</w:t>
    </w:r>
  </w:p>
  <w:p w:rsidR="00640997" w:rsidRPr="00640997" w:rsidRDefault="00640997" w:rsidP="00640997">
    <w:pPr>
      <w:pStyle w:val="Nagwek"/>
      <w:jc w:val="center"/>
      <w:rPr>
        <w:b/>
      </w:rPr>
    </w:pPr>
    <w:r w:rsidRPr="00640997">
      <w:rPr>
        <w:b/>
      </w:rPr>
      <w:t>Lista wskaźników rezultatu bezpośredniego oraz produktu dla Działania 13.2</w:t>
    </w:r>
  </w:p>
  <w:p w:rsidR="00116F48" w:rsidRPr="00640997" w:rsidRDefault="00116F48" w:rsidP="006409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97" w:rsidRDefault="0064099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D0"/>
    <w:rsid w:val="000A2DB3"/>
    <w:rsid w:val="00116F48"/>
    <w:rsid w:val="00121F95"/>
    <w:rsid w:val="00127F48"/>
    <w:rsid w:val="001478E1"/>
    <w:rsid w:val="001A72AF"/>
    <w:rsid w:val="00280848"/>
    <w:rsid w:val="0029439D"/>
    <w:rsid w:val="003611D0"/>
    <w:rsid w:val="00374864"/>
    <w:rsid w:val="004171F8"/>
    <w:rsid w:val="004A62DA"/>
    <w:rsid w:val="004E0270"/>
    <w:rsid w:val="00501FBD"/>
    <w:rsid w:val="005A0E1D"/>
    <w:rsid w:val="005F6931"/>
    <w:rsid w:val="00640997"/>
    <w:rsid w:val="006A5013"/>
    <w:rsid w:val="00721592"/>
    <w:rsid w:val="00743714"/>
    <w:rsid w:val="007567C8"/>
    <w:rsid w:val="007B1605"/>
    <w:rsid w:val="007F2F4D"/>
    <w:rsid w:val="008674FB"/>
    <w:rsid w:val="00874B7D"/>
    <w:rsid w:val="008E2483"/>
    <w:rsid w:val="008F44D3"/>
    <w:rsid w:val="009204E8"/>
    <w:rsid w:val="00932D67"/>
    <w:rsid w:val="00935DD7"/>
    <w:rsid w:val="00951B5F"/>
    <w:rsid w:val="00957A93"/>
    <w:rsid w:val="0096278F"/>
    <w:rsid w:val="00A33AE8"/>
    <w:rsid w:val="00B62610"/>
    <w:rsid w:val="00B63B82"/>
    <w:rsid w:val="00B776B0"/>
    <w:rsid w:val="00B8298B"/>
    <w:rsid w:val="00BB31A1"/>
    <w:rsid w:val="00C1329A"/>
    <w:rsid w:val="00C4346D"/>
    <w:rsid w:val="00CB6D5B"/>
    <w:rsid w:val="00CE6D64"/>
    <w:rsid w:val="00CF6505"/>
    <w:rsid w:val="00DD6818"/>
    <w:rsid w:val="00FC2A67"/>
    <w:rsid w:val="00FD2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akcent4">
    <w:name w:val="Light Grid Accent 4"/>
    <w:basedOn w:val="Standardowy"/>
    <w:uiPriority w:val="62"/>
    <w:rsid w:val="004A62D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agwek">
    <w:name w:val="header"/>
    <w:basedOn w:val="Normalny"/>
    <w:link w:val="NagwekZnak"/>
    <w:uiPriority w:val="99"/>
    <w:unhideWhenUsed/>
    <w:rsid w:val="004A62DA"/>
    <w:pPr>
      <w:tabs>
        <w:tab w:val="center" w:pos="4536"/>
        <w:tab w:val="right" w:pos="9072"/>
      </w:tabs>
      <w:spacing w:line="240" w:lineRule="auto"/>
    </w:pPr>
  </w:style>
  <w:style w:type="character" w:customStyle="1" w:styleId="NagwekZnak">
    <w:name w:val="Nagłówek Znak"/>
    <w:basedOn w:val="Domylnaczcionkaakapitu"/>
    <w:link w:val="Nagwek"/>
    <w:uiPriority w:val="99"/>
    <w:rsid w:val="004A62DA"/>
  </w:style>
  <w:style w:type="paragraph" w:styleId="Stopka">
    <w:name w:val="footer"/>
    <w:basedOn w:val="Normalny"/>
    <w:link w:val="StopkaZnak"/>
    <w:uiPriority w:val="99"/>
    <w:unhideWhenUsed/>
    <w:rsid w:val="004A62DA"/>
    <w:pPr>
      <w:tabs>
        <w:tab w:val="center" w:pos="4536"/>
        <w:tab w:val="right" w:pos="9072"/>
      </w:tabs>
      <w:spacing w:line="240" w:lineRule="auto"/>
    </w:pPr>
  </w:style>
  <w:style w:type="character" w:customStyle="1" w:styleId="StopkaZnak">
    <w:name w:val="Stopka Znak"/>
    <w:basedOn w:val="Domylnaczcionkaakapitu"/>
    <w:link w:val="Stopka"/>
    <w:uiPriority w:val="99"/>
    <w:rsid w:val="004A62DA"/>
  </w:style>
  <w:style w:type="paragraph" w:styleId="Tekstdymka">
    <w:name w:val="Balloon Text"/>
    <w:basedOn w:val="Normalny"/>
    <w:link w:val="TekstdymkaZnak"/>
    <w:uiPriority w:val="99"/>
    <w:semiHidden/>
    <w:unhideWhenUsed/>
    <w:rsid w:val="004171F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akcent4">
    <w:name w:val="Light Grid Accent 4"/>
    <w:basedOn w:val="Standardowy"/>
    <w:uiPriority w:val="62"/>
    <w:rsid w:val="004A62D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agwek">
    <w:name w:val="header"/>
    <w:basedOn w:val="Normalny"/>
    <w:link w:val="NagwekZnak"/>
    <w:uiPriority w:val="99"/>
    <w:unhideWhenUsed/>
    <w:rsid w:val="004A62DA"/>
    <w:pPr>
      <w:tabs>
        <w:tab w:val="center" w:pos="4536"/>
        <w:tab w:val="right" w:pos="9072"/>
      </w:tabs>
      <w:spacing w:line="240" w:lineRule="auto"/>
    </w:pPr>
  </w:style>
  <w:style w:type="character" w:customStyle="1" w:styleId="NagwekZnak">
    <w:name w:val="Nagłówek Znak"/>
    <w:basedOn w:val="Domylnaczcionkaakapitu"/>
    <w:link w:val="Nagwek"/>
    <w:uiPriority w:val="99"/>
    <w:rsid w:val="004A62DA"/>
  </w:style>
  <w:style w:type="paragraph" w:styleId="Stopka">
    <w:name w:val="footer"/>
    <w:basedOn w:val="Normalny"/>
    <w:link w:val="StopkaZnak"/>
    <w:uiPriority w:val="99"/>
    <w:unhideWhenUsed/>
    <w:rsid w:val="004A62DA"/>
    <w:pPr>
      <w:tabs>
        <w:tab w:val="center" w:pos="4536"/>
        <w:tab w:val="right" w:pos="9072"/>
      </w:tabs>
      <w:spacing w:line="240" w:lineRule="auto"/>
    </w:pPr>
  </w:style>
  <w:style w:type="character" w:customStyle="1" w:styleId="StopkaZnak">
    <w:name w:val="Stopka Znak"/>
    <w:basedOn w:val="Domylnaczcionkaakapitu"/>
    <w:link w:val="Stopka"/>
    <w:uiPriority w:val="99"/>
    <w:rsid w:val="004A62DA"/>
  </w:style>
  <w:style w:type="paragraph" w:styleId="Tekstdymka">
    <w:name w:val="Balloon Text"/>
    <w:basedOn w:val="Normalny"/>
    <w:link w:val="TekstdymkaZnak"/>
    <w:uiPriority w:val="99"/>
    <w:semiHidden/>
    <w:unhideWhenUsed/>
    <w:rsid w:val="004171F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1046">
      <w:bodyDiv w:val="1"/>
      <w:marLeft w:val="0"/>
      <w:marRight w:val="0"/>
      <w:marTop w:val="0"/>
      <w:marBottom w:val="0"/>
      <w:divBdr>
        <w:top w:val="none" w:sz="0" w:space="0" w:color="auto"/>
        <w:left w:val="none" w:sz="0" w:space="0" w:color="auto"/>
        <w:bottom w:val="none" w:sz="0" w:space="0" w:color="auto"/>
        <w:right w:val="none" w:sz="0" w:space="0" w:color="auto"/>
      </w:divBdr>
    </w:div>
    <w:div w:id="693070321">
      <w:bodyDiv w:val="1"/>
      <w:marLeft w:val="0"/>
      <w:marRight w:val="0"/>
      <w:marTop w:val="0"/>
      <w:marBottom w:val="0"/>
      <w:divBdr>
        <w:top w:val="none" w:sz="0" w:space="0" w:color="auto"/>
        <w:left w:val="none" w:sz="0" w:space="0" w:color="auto"/>
        <w:bottom w:val="none" w:sz="0" w:space="0" w:color="auto"/>
        <w:right w:val="none" w:sz="0" w:space="0" w:color="auto"/>
      </w:divBdr>
    </w:div>
    <w:div w:id="1042556330">
      <w:bodyDiv w:val="1"/>
      <w:marLeft w:val="0"/>
      <w:marRight w:val="0"/>
      <w:marTop w:val="0"/>
      <w:marBottom w:val="0"/>
      <w:divBdr>
        <w:top w:val="none" w:sz="0" w:space="0" w:color="auto"/>
        <w:left w:val="none" w:sz="0" w:space="0" w:color="auto"/>
        <w:bottom w:val="none" w:sz="0" w:space="0" w:color="auto"/>
        <w:right w:val="none" w:sz="0" w:space="0" w:color="auto"/>
      </w:divBdr>
    </w:div>
    <w:div w:id="1168516746">
      <w:bodyDiv w:val="1"/>
      <w:marLeft w:val="0"/>
      <w:marRight w:val="0"/>
      <w:marTop w:val="0"/>
      <w:marBottom w:val="0"/>
      <w:divBdr>
        <w:top w:val="none" w:sz="0" w:space="0" w:color="auto"/>
        <w:left w:val="none" w:sz="0" w:space="0" w:color="auto"/>
        <w:bottom w:val="none" w:sz="0" w:space="0" w:color="auto"/>
        <w:right w:val="none" w:sz="0" w:space="0" w:color="auto"/>
      </w:divBdr>
    </w:div>
    <w:div w:id="1869641968">
      <w:bodyDiv w:val="1"/>
      <w:marLeft w:val="0"/>
      <w:marRight w:val="0"/>
      <w:marTop w:val="0"/>
      <w:marBottom w:val="0"/>
      <w:divBdr>
        <w:top w:val="none" w:sz="0" w:space="0" w:color="auto"/>
        <w:left w:val="none" w:sz="0" w:space="0" w:color="auto"/>
        <w:bottom w:val="none" w:sz="0" w:space="0" w:color="auto"/>
        <w:right w:val="none" w:sz="0" w:space="0" w:color="auto"/>
      </w:divBdr>
    </w:div>
    <w:div w:id="19972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5377-68AE-409C-B7D2-56A8F847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1431</Words>
  <Characters>8591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Magdalena Karasek</cp:lastModifiedBy>
  <cp:revision>13</cp:revision>
  <cp:lastPrinted>2015-08-20T08:30:00Z</cp:lastPrinted>
  <dcterms:created xsi:type="dcterms:W3CDTF">2015-08-20T08:32:00Z</dcterms:created>
  <dcterms:modified xsi:type="dcterms:W3CDTF">2015-09-22T10:04:00Z</dcterms:modified>
</cp:coreProperties>
</file>