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Jasnasiatkaakcent4"/>
        <w:tblpPr w:leftFromText="141" w:rightFromText="141" w:tblpXSpec="center" w:tblpY="426"/>
        <w:tblW w:w="14567" w:type="dxa"/>
        <w:tblLook w:val="04A0" w:firstRow="1" w:lastRow="0" w:firstColumn="1" w:lastColumn="0" w:noHBand="0" w:noVBand="1"/>
      </w:tblPr>
      <w:tblGrid>
        <w:gridCol w:w="3191"/>
        <w:gridCol w:w="1107"/>
        <w:gridCol w:w="1197"/>
        <w:gridCol w:w="1147"/>
        <w:gridCol w:w="969"/>
        <w:gridCol w:w="1287"/>
        <w:gridCol w:w="1167"/>
        <w:gridCol w:w="4502"/>
      </w:tblGrid>
      <w:tr w:rsidR="00D20FBE" w:rsidRPr="004A62DA" w:rsidTr="00D20FBE">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D20FBE" w:rsidRPr="004A62DA" w:rsidRDefault="00D20FBE" w:rsidP="004A62DA">
            <w:pPr>
              <w:jc w:val="left"/>
              <w:rPr>
                <w:rFonts w:ascii="Arial" w:eastAsia="Times New Roman" w:hAnsi="Arial" w:cs="Arial"/>
                <w:sz w:val="18"/>
                <w:szCs w:val="18"/>
                <w:lang w:eastAsia="pl-PL"/>
              </w:rPr>
            </w:pPr>
            <w:r w:rsidRPr="004A62DA">
              <w:rPr>
                <w:rFonts w:ascii="Arial" w:eastAsia="Times New Roman" w:hAnsi="Arial" w:cs="Arial"/>
                <w:sz w:val="18"/>
                <w:szCs w:val="18"/>
                <w:lang w:eastAsia="pl-PL"/>
              </w:rPr>
              <w:t>Nazwa wskaźnika</w:t>
            </w:r>
          </w:p>
        </w:tc>
        <w:tc>
          <w:tcPr>
            <w:tcW w:w="1107" w:type="dxa"/>
            <w:vAlign w:val="center"/>
            <w:hideMark/>
          </w:tcPr>
          <w:p w:rsidR="00D20FBE" w:rsidRPr="004A62DA" w:rsidRDefault="00D20FBE"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Jednostka</w:t>
            </w:r>
          </w:p>
        </w:tc>
        <w:tc>
          <w:tcPr>
            <w:tcW w:w="1197" w:type="dxa"/>
            <w:vAlign w:val="center"/>
          </w:tcPr>
          <w:p w:rsidR="00D20FBE" w:rsidRPr="004A62DA" w:rsidRDefault="00D20FBE"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Rodzaj</w:t>
            </w:r>
          </w:p>
        </w:tc>
        <w:tc>
          <w:tcPr>
            <w:tcW w:w="1147" w:type="dxa"/>
            <w:vAlign w:val="center"/>
          </w:tcPr>
          <w:p w:rsidR="00D20FBE" w:rsidRPr="004A62DA" w:rsidRDefault="00D20FBE"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Typ</w:t>
            </w:r>
          </w:p>
        </w:tc>
        <w:tc>
          <w:tcPr>
            <w:tcW w:w="969" w:type="dxa"/>
            <w:vAlign w:val="center"/>
          </w:tcPr>
          <w:p w:rsidR="00D20FBE" w:rsidRPr="004A62DA" w:rsidRDefault="00D20FBE"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Poziom pomiaru</w:t>
            </w:r>
          </w:p>
        </w:tc>
        <w:tc>
          <w:tcPr>
            <w:tcW w:w="1287" w:type="dxa"/>
            <w:vAlign w:val="center"/>
          </w:tcPr>
          <w:p w:rsidR="00D20FBE" w:rsidRPr="004A62DA" w:rsidRDefault="00D20FBE"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Charakter</w:t>
            </w:r>
          </w:p>
        </w:tc>
        <w:tc>
          <w:tcPr>
            <w:tcW w:w="1167" w:type="dxa"/>
            <w:vAlign w:val="center"/>
          </w:tcPr>
          <w:p w:rsidR="00D20FBE" w:rsidRPr="004A62DA" w:rsidRDefault="00D20FBE"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Wskaźnik Ramy Wykonania</w:t>
            </w:r>
          </w:p>
        </w:tc>
        <w:tc>
          <w:tcPr>
            <w:tcW w:w="4502" w:type="dxa"/>
            <w:vAlign w:val="center"/>
          </w:tcPr>
          <w:p w:rsidR="00D20FBE" w:rsidRPr="004A62DA" w:rsidRDefault="00D20FBE" w:rsidP="00D20FB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116F48">
              <w:rPr>
                <w:rFonts w:ascii="Arial" w:eastAsia="Times New Roman" w:hAnsi="Arial" w:cs="Arial"/>
                <w:sz w:val="18"/>
                <w:szCs w:val="18"/>
                <w:lang w:eastAsia="pl-PL"/>
              </w:rPr>
              <w:t>Definicja wskaźnika</w:t>
            </w:r>
          </w:p>
        </w:tc>
      </w:tr>
      <w:tr w:rsidR="004148D6" w:rsidRPr="004A62DA" w:rsidTr="00D20FBE">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F3A8C" w:rsidRDefault="004148D6" w:rsidP="004148D6">
            <w:pPr>
              <w:jc w:val="left"/>
              <w:rPr>
                <w:rFonts w:ascii="Arial" w:hAnsi="Arial" w:cs="Arial"/>
                <w:sz w:val="18"/>
                <w:szCs w:val="18"/>
              </w:rPr>
            </w:pPr>
            <w:r w:rsidRPr="00C11AD5">
              <w:rPr>
                <w:rFonts w:ascii="Arial" w:hAnsi="Arial" w:cs="Arial"/>
                <w:sz w:val="18"/>
                <w:szCs w:val="18"/>
              </w:rPr>
              <w:t>Rzeczywista liczba użytkowników infrastruktury w zakresie opieki nad dziećmi lub infrastruktury edukacyjnej</w:t>
            </w:r>
          </w:p>
        </w:tc>
        <w:tc>
          <w:tcPr>
            <w:tcW w:w="1107" w:type="dxa"/>
            <w:vAlign w:val="center"/>
            <w:hideMark/>
          </w:tcPr>
          <w:p w:rsidR="004148D6" w:rsidRPr="004F3A8C"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osoby</w:t>
            </w:r>
          </w:p>
        </w:tc>
        <w:tc>
          <w:tcPr>
            <w:tcW w:w="119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rezultat bezpośredni</w:t>
            </w:r>
          </w:p>
        </w:tc>
        <w:tc>
          <w:tcPr>
            <w:tcW w:w="114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specyficzny</w:t>
            </w:r>
          </w:p>
        </w:tc>
        <w:tc>
          <w:tcPr>
            <w:tcW w:w="969"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projekt</w:t>
            </w:r>
          </w:p>
        </w:tc>
        <w:tc>
          <w:tcPr>
            <w:tcW w:w="128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502" w:type="dxa"/>
          </w:tcPr>
          <w:p w:rsidR="004148D6" w:rsidRPr="00501FBD"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 xml:space="preserve">Liczba użytkowników, którzy </w:t>
            </w:r>
            <w:r>
              <w:rPr>
                <w:rFonts w:ascii="Arial" w:eastAsia="Times New Roman" w:hAnsi="Arial" w:cs="Arial"/>
                <w:sz w:val="18"/>
                <w:szCs w:val="18"/>
                <w:lang w:eastAsia="pl-PL"/>
              </w:rPr>
              <w:t xml:space="preserve">skorzystali w ciągu roku </w:t>
            </w:r>
            <w:r w:rsidRPr="00501FBD">
              <w:rPr>
                <w:rFonts w:ascii="Arial" w:eastAsia="Times New Roman" w:hAnsi="Arial" w:cs="Arial"/>
                <w:sz w:val="18"/>
                <w:szCs w:val="18"/>
                <w:lang w:eastAsia="pl-PL"/>
              </w:rPr>
              <w:t>z nowo wybudowanej</w:t>
            </w:r>
            <w:r>
              <w:rPr>
                <w:rFonts w:ascii="Arial" w:eastAsia="Times New Roman" w:hAnsi="Arial" w:cs="Arial"/>
                <w:sz w:val="18"/>
                <w:szCs w:val="18"/>
                <w:lang w:eastAsia="pl-PL"/>
              </w:rPr>
              <w:t>, przebudowanej</w:t>
            </w:r>
            <w:r w:rsidRPr="00501FBD">
              <w:rPr>
                <w:rFonts w:ascii="Arial" w:eastAsia="Times New Roman" w:hAnsi="Arial" w:cs="Arial"/>
                <w:sz w:val="18"/>
                <w:szCs w:val="18"/>
                <w:lang w:eastAsia="pl-PL"/>
              </w:rPr>
              <w:t xml:space="preserve"> lub udoskonalonej infrastruktury opieki nad dziećmi lub edukacyjnej.</w:t>
            </w:r>
          </w:p>
          <w:p w:rsidR="004148D6" w:rsidRPr="00501FBD"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Przez użytkowników w tym kontekście należy rozumieć dzieci, uczniów lub studentów, nie należy uwzględniać nauczycieli, rodziców lub inn</w:t>
            </w:r>
            <w:r>
              <w:rPr>
                <w:rFonts w:ascii="Arial" w:eastAsia="Times New Roman" w:hAnsi="Arial" w:cs="Arial"/>
                <w:sz w:val="18"/>
                <w:szCs w:val="18"/>
                <w:lang w:eastAsia="pl-PL"/>
              </w:rPr>
              <w:t>ych</w:t>
            </w:r>
            <w:r w:rsidRPr="00501FBD">
              <w:rPr>
                <w:rFonts w:ascii="Arial" w:eastAsia="Times New Roman" w:hAnsi="Arial" w:cs="Arial"/>
                <w:sz w:val="18"/>
                <w:szCs w:val="18"/>
                <w:lang w:eastAsia="pl-PL"/>
              </w:rPr>
              <w:t xml:space="preserve"> os</w:t>
            </w:r>
            <w:r>
              <w:rPr>
                <w:rFonts w:ascii="Arial" w:eastAsia="Times New Roman" w:hAnsi="Arial" w:cs="Arial"/>
                <w:sz w:val="18"/>
                <w:szCs w:val="18"/>
                <w:lang w:eastAsia="pl-PL"/>
              </w:rPr>
              <w:t>ób</w:t>
            </w:r>
            <w:r w:rsidRPr="00501FBD">
              <w:rPr>
                <w:rFonts w:ascii="Arial" w:eastAsia="Times New Roman" w:hAnsi="Arial" w:cs="Arial"/>
                <w:sz w:val="18"/>
                <w:szCs w:val="18"/>
                <w:lang w:eastAsia="pl-PL"/>
              </w:rPr>
              <w:t>, które mogą także korzystać z</w:t>
            </w:r>
            <w:r>
              <w:rPr>
                <w:rFonts w:ascii="Arial" w:eastAsia="Times New Roman" w:hAnsi="Arial" w:cs="Arial"/>
                <w:sz w:val="18"/>
                <w:szCs w:val="18"/>
                <w:lang w:eastAsia="pl-PL"/>
              </w:rPr>
              <w:t>e</w:t>
            </w:r>
            <w:r w:rsidRPr="00501FBD">
              <w:rPr>
                <w:rFonts w:ascii="Arial" w:eastAsia="Times New Roman" w:hAnsi="Arial" w:cs="Arial"/>
                <w:sz w:val="18"/>
                <w:szCs w:val="18"/>
                <w:lang w:eastAsia="pl-PL"/>
              </w:rPr>
              <w:t xml:space="preserve"> </w:t>
            </w:r>
            <w:r>
              <w:rPr>
                <w:rFonts w:ascii="Arial" w:eastAsia="Times New Roman" w:hAnsi="Arial" w:cs="Arial"/>
                <w:sz w:val="18"/>
                <w:szCs w:val="18"/>
                <w:lang w:eastAsia="pl-PL"/>
              </w:rPr>
              <w:t>wspartej</w:t>
            </w:r>
            <w:r w:rsidRPr="00501FBD">
              <w:rPr>
                <w:rFonts w:ascii="Arial" w:eastAsia="Times New Roman" w:hAnsi="Arial" w:cs="Arial"/>
                <w:sz w:val="18"/>
                <w:szCs w:val="18"/>
                <w:lang w:eastAsia="pl-PL"/>
              </w:rPr>
              <w:t xml:space="preserve"> infrastruktury.</w:t>
            </w:r>
            <w:r>
              <w:rPr>
                <w:rFonts w:ascii="Arial" w:eastAsia="Times New Roman" w:hAnsi="Arial" w:cs="Arial"/>
                <w:sz w:val="18"/>
                <w:szCs w:val="18"/>
                <w:lang w:eastAsia="pl-PL"/>
              </w:rPr>
              <w:t xml:space="preserve"> Użytkowników należy wliczyć jednokrotnie w ciągu roku, mogą natomiast się powtarzać w kolejnych latach sprawozdawania wskaźnika.</w:t>
            </w:r>
          </w:p>
          <w:p w:rsidR="004148D6" w:rsidRPr="000A74E6"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Wskaźnik dotyczy nowych</w:t>
            </w:r>
            <w:r>
              <w:rPr>
                <w:rFonts w:ascii="Arial" w:eastAsia="Times New Roman" w:hAnsi="Arial" w:cs="Arial"/>
                <w:sz w:val="18"/>
                <w:szCs w:val="18"/>
                <w:lang w:eastAsia="pl-PL"/>
              </w:rPr>
              <w:t>, przebudowanych</w:t>
            </w:r>
            <w:r w:rsidRPr="00501FBD">
              <w:rPr>
                <w:rFonts w:ascii="Arial" w:eastAsia="Times New Roman" w:hAnsi="Arial" w:cs="Arial"/>
                <w:sz w:val="18"/>
                <w:szCs w:val="18"/>
                <w:lang w:eastAsia="pl-PL"/>
              </w:rPr>
              <w:t xml:space="preserve"> lub doposaż</w:t>
            </w:r>
            <w:r>
              <w:rPr>
                <w:rFonts w:ascii="Arial" w:eastAsia="Times New Roman" w:hAnsi="Arial" w:cs="Arial"/>
                <w:sz w:val="18"/>
                <w:szCs w:val="18"/>
                <w:lang w:eastAsia="pl-PL"/>
              </w:rPr>
              <w:t>onych</w:t>
            </w:r>
            <w:r w:rsidRPr="00501FBD">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budynków </w:t>
            </w:r>
            <w:r w:rsidRPr="00501FBD">
              <w:rPr>
                <w:rFonts w:ascii="Arial" w:eastAsia="Times New Roman" w:hAnsi="Arial" w:cs="Arial"/>
                <w:sz w:val="18"/>
                <w:szCs w:val="18"/>
                <w:lang w:eastAsia="pl-PL"/>
              </w:rPr>
              <w:t xml:space="preserve">w ramach </w:t>
            </w:r>
            <w:r>
              <w:rPr>
                <w:rFonts w:ascii="Arial" w:eastAsia="Times New Roman" w:hAnsi="Arial" w:cs="Arial"/>
                <w:sz w:val="18"/>
                <w:szCs w:val="18"/>
                <w:lang w:eastAsia="pl-PL"/>
              </w:rPr>
              <w:t>projektu</w:t>
            </w:r>
            <w:r w:rsidRPr="00501FBD">
              <w:rPr>
                <w:rFonts w:ascii="Arial" w:eastAsia="Times New Roman" w:hAnsi="Arial" w:cs="Arial"/>
                <w:sz w:val="18"/>
                <w:szCs w:val="18"/>
                <w:lang w:eastAsia="pl-PL"/>
              </w:rPr>
              <w:t xml:space="preserve">. Wskaźnik mierzy </w:t>
            </w:r>
            <w:r>
              <w:rPr>
                <w:rFonts w:ascii="Arial" w:eastAsia="Times New Roman" w:hAnsi="Arial" w:cs="Arial"/>
                <w:sz w:val="18"/>
                <w:szCs w:val="18"/>
                <w:lang w:eastAsia="pl-PL"/>
              </w:rPr>
              <w:t>wszystkich użytkowników budynku objętego projektem mimo, iż tylko część tego budynku może zostać ulepszona, np. poprzez doposażenie części pracowni.</w:t>
            </w:r>
          </w:p>
        </w:tc>
      </w:tr>
      <w:tr w:rsidR="004148D6" w:rsidRPr="004A62DA" w:rsidTr="00D20FBE">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F3A8C" w:rsidRDefault="004148D6" w:rsidP="004148D6">
            <w:pPr>
              <w:jc w:val="left"/>
              <w:rPr>
                <w:rFonts w:ascii="Arial" w:hAnsi="Arial" w:cs="Arial"/>
                <w:sz w:val="18"/>
                <w:szCs w:val="18"/>
              </w:rPr>
            </w:pPr>
            <w:r w:rsidRPr="004F3A8C">
              <w:rPr>
                <w:rFonts w:ascii="Arial" w:hAnsi="Arial" w:cs="Arial"/>
                <w:sz w:val="18"/>
                <w:szCs w:val="18"/>
              </w:rPr>
              <w:t>Liczba wspartych obiektów infrastruktury przedszkolnej</w:t>
            </w:r>
          </w:p>
        </w:tc>
        <w:tc>
          <w:tcPr>
            <w:tcW w:w="1107" w:type="dxa"/>
            <w:vAlign w:val="center"/>
            <w:hideMark/>
          </w:tcPr>
          <w:p w:rsidR="004148D6" w:rsidRPr="004F3A8C"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3A8C">
              <w:rPr>
                <w:rFonts w:ascii="Arial" w:hAnsi="Arial" w:cs="Arial"/>
                <w:sz w:val="18"/>
                <w:szCs w:val="18"/>
              </w:rPr>
              <w:t>szt.</w:t>
            </w:r>
          </w:p>
        </w:tc>
        <w:tc>
          <w:tcPr>
            <w:tcW w:w="119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program,</w:t>
            </w:r>
          </w:p>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tc>
        <w:tc>
          <w:tcPr>
            <w:tcW w:w="128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502" w:type="dxa"/>
          </w:tcPr>
          <w:p w:rsidR="004148D6"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 xml:space="preserve">Wskaźnik odnosi się do obiektów budowlanych, w których </w:t>
            </w:r>
            <w:r w:rsidR="00FB5C3F">
              <w:rPr>
                <w:rFonts w:ascii="Arial" w:eastAsia="Times New Roman" w:hAnsi="Arial" w:cs="Arial"/>
                <w:sz w:val="18"/>
                <w:szCs w:val="18"/>
                <w:lang w:eastAsia="pl-PL"/>
              </w:rPr>
              <w:t>prowadzone są przedszkola</w:t>
            </w:r>
            <w:r>
              <w:rPr>
                <w:rFonts w:ascii="Arial" w:eastAsia="Times New Roman" w:hAnsi="Arial" w:cs="Arial"/>
                <w:sz w:val="18"/>
                <w:szCs w:val="18"/>
                <w:lang w:eastAsia="pl-PL"/>
              </w:rPr>
              <w:t>.</w:t>
            </w:r>
            <w:r w:rsidR="00FB5C3F">
              <w:rPr>
                <w:rFonts w:ascii="Arial" w:eastAsia="Times New Roman" w:hAnsi="Arial" w:cs="Arial"/>
                <w:sz w:val="18"/>
                <w:szCs w:val="18"/>
                <w:lang w:eastAsia="pl-PL"/>
              </w:rPr>
              <w:t xml:space="preserve"> </w:t>
            </w:r>
          </w:p>
          <w:p w:rsidR="00FB5C3F" w:rsidRPr="00FB5C3F" w:rsidRDefault="00FB5C3F" w:rsidP="00FB5C3F">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 xml:space="preserve">Przedszkola, </w:t>
            </w:r>
            <w:r w:rsidRPr="00FB5C3F">
              <w:rPr>
                <w:rFonts w:ascii="Arial" w:eastAsia="Times New Roman" w:hAnsi="Arial" w:cs="Arial"/>
                <w:sz w:val="18"/>
                <w:szCs w:val="18"/>
                <w:lang w:eastAsia="pl-PL"/>
              </w:rPr>
              <w:t>w tym z oddziałami integracyjnymi, przedszkola specjalne oraz inne formy wychowania przedszkolnego</w:t>
            </w:r>
            <w:r>
              <w:rPr>
                <w:rFonts w:ascii="Arial" w:eastAsia="Times New Roman" w:hAnsi="Arial" w:cs="Arial"/>
                <w:sz w:val="18"/>
                <w:szCs w:val="18"/>
                <w:lang w:eastAsia="pl-PL"/>
              </w:rPr>
              <w:t xml:space="preserve"> należy rozumieć zgodnie z ustawą </w:t>
            </w:r>
          </w:p>
          <w:p w:rsidR="00FB5C3F" w:rsidRPr="00FB5C3F" w:rsidRDefault="00FB5C3F" w:rsidP="00FB5C3F">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FB5C3F">
              <w:rPr>
                <w:rFonts w:ascii="Arial" w:eastAsia="Times New Roman" w:hAnsi="Arial" w:cs="Arial"/>
                <w:sz w:val="18"/>
                <w:szCs w:val="18"/>
                <w:lang w:eastAsia="pl-PL"/>
              </w:rPr>
              <w:t xml:space="preserve"> z dnia 7 września 1991 r. </w:t>
            </w:r>
            <w:r w:rsidRPr="006E6DA7">
              <w:rPr>
                <w:rFonts w:ascii="Arial" w:eastAsia="Times New Roman" w:hAnsi="Arial" w:cs="Arial"/>
                <w:bCs/>
                <w:sz w:val="18"/>
                <w:szCs w:val="18"/>
                <w:lang w:eastAsia="pl-PL"/>
              </w:rPr>
              <w:t xml:space="preserve">o systemie oświaty </w:t>
            </w:r>
            <w:r>
              <w:rPr>
                <w:rFonts w:ascii="Arial" w:eastAsia="Times New Roman" w:hAnsi="Arial" w:cs="Arial"/>
                <w:bCs/>
                <w:sz w:val="18"/>
                <w:szCs w:val="18"/>
                <w:lang w:eastAsia="pl-PL"/>
              </w:rPr>
              <w:t xml:space="preserve">z </w:t>
            </w:r>
            <w:proofErr w:type="spellStart"/>
            <w:r>
              <w:rPr>
                <w:rFonts w:ascii="Arial" w:eastAsia="Times New Roman" w:hAnsi="Arial" w:cs="Arial"/>
                <w:bCs/>
                <w:sz w:val="18"/>
                <w:szCs w:val="18"/>
                <w:lang w:eastAsia="pl-PL"/>
              </w:rPr>
              <w:t>późn</w:t>
            </w:r>
            <w:proofErr w:type="spellEnd"/>
            <w:r>
              <w:rPr>
                <w:rFonts w:ascii="Arial" w:eastAsia="Times New Roman" w:hAnsi="Arial" w:cs="Arial"/>
                <w:bCs/>
                <w:sz w:val="18"/>
                <w:szCs w:val="18"/>
                <w:lang w:eastAsia="pl-PL"/>
              </w:rPr>
              <w:t xml:space="preserve">. zm. </w:t>
            </w:r>
            <w:r w:rsidRPr="00FB5C3F">
              <w:rPr>
                <w:rFonts w:ascii="Arial" w:eastAsia="Times New Roman" w:hAnsi="Arial" w:cs="Arial"/>
                <w:sz w:val="18"/>
                <w:szCs w:val="18"/>
                <w:lang w:eastAsia="pl-PL"/>
              </w:rPr>
              <w:t xml:space="preserve"> </w:t>
            </w:r>
          </w:p>
          <w:p w:rsidR="004148D6"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Przez</w:t>
            </w:r>
            <w:r w:rsidRPr="006A5013">
              <w:rPr>
                <w:rFonts w:ascii="Arial" w:eastAsia="Times New Roman" w:hAnsi="Arial" w:cs="Arial"/>
                <w:sz w:val="18"/>
                <w:szCs w:val="18"/>
                <w:lang w:eastAsia="pl-PL"/>
              </w:rPr>
              <w:t xml:space="preserve"> obiekty budowlane należy rozumieć konstrukcje połączone z gruntem w sposób</w:t>
            </w:r>
            <w:r>
              <w:rPr>
                <w:rFonts w:ascii="Arial" w:eastAsia="Times New Roman" w:hAnsi="Arial" w:cs="Arial"/>
                <w:sz w:val="18"/>
                <w:szCs w:val="18"/>
                <w:lang w:eastAsia="pl-PL"/>
              </w:rPr>
              <w:t xml:space="preserve"> </w:t>
            </w:r>
            <w:r w:rsidRPr="006A5013">
              <w:rPr>
                <w:rFonts w:ascii="Arial" w:eastAsia="Times New Roman" w:hAnsi="Arial" w:cs="Arial"/>
                <w:sz w:val="18"/>
                <w:szCs w:val="18"/>
                <w:lang w:eastAsia="pl-PL"/>
              </w:rPr>
              <w:t>trwały, wykonane z materiałów budowlanych i</w:t>
            </w:r>
            <w:r>
              <w:rPr>
                <w:rFonts w:ascii="Arial" w:eastAsia="Times New Roman" w:hAnsi="Arial" w:cs="Arial"/>
                <w:sz w:val="18"/>
                <w:szCs w:val="18"/>
                <w:lang w:eastAsia="pl-PL"/>
              </w:rPr>
              <w:t> </w:t>
            </w:r>
            <w:r w:rsidRPr="006A5013">
              <w:rPr>
                <w:rFonts w:ascii="Arial" w:eastAsia="Times New Roman" w:hAnsi="Arial" w:cs="Arial"/>
                <w:sz w:val="18"/>
                <w:szCs w:val="18"/>
                <w:lang w:eastAsia="pl-PL"/>
              </w:rPr>
              <w:t>elementów składowych, będące</w:t>
            </w:r>
            <w:r>
              <w:rPr>
                <w:rFonts w:ascii="Arial" w:eastAsia="Times New Roman" w:hAnsi="Arial" w:cs="Arial"/>
                <w:sz w:val="18"/>
                <w:szCs w:val="18"/>
                <w:lang w:eastAsia="pl-PL"/>
              </w:rPr>
              <w:t xml:space="preserve"> </w:t>
            </w:r>
            <w:r w:rsidRPr="006A5013">
              <w:rPr>
                <w:rFonts w:ascii="Arial" w:eastAsia="Times New Roman" w:hAnsi="Arial" w:cs="Arial"/>
                <w:sz w:val="18"/>
                <w:szCs w:val="18"/>
                <w:lang w:eastAsia="pl-PL"/>
              </w:rPr>
              <w:t>wynikiem prac budowlanych</w:t>
            </w:r>
            <w:r>
              <w:rPr>
                <w:rFonts w:ascii="Arial" w:eastAsia="Times New Roman" w:hAnsi="Arial" w:cs="Arial"/>
                <w:sz w:val="18"/>
                <w:szCs w:val="18"/>
                <w:lang w:eastAsia="pl-PL"/>
              </w:rPr>
              <w:t xml:space="preserve">. </w:t>
            </w:r>
          </w:p>
          <w:p w:rsidR="004148D6" w:rsidRDefault="00FB5C3F"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 xml:space="preserve">Przez wsparcie należy rozumieć </w:t>
            </w:r>
            <w:r w:rsidRPr="00FB5C3F">
              <w:rPr>
                <w:rFonts w:ascii="Arial" w:eastAsia="Times New Roman" w:hAnsi="Arial" w:cs="Arial"/>
                <w:sz w:val="18"/>
                <w:szCs w:val="18"/>
                <w:lang w:eastAsia="pl-PL"/>
              </w:rPr>
              <w:t>budowę , rozbudowę, adaptację i modernizację obiektów na potrzeby prowadzenia działalności edukacyjnej wraz z zapleczem socjalnym (m.in. place zabaw)</w:t>
            </w:r>
            <w:r>
              <w:rPr>
                <w:rFonts w:ascii="Arial" w:eastAsia="Times New Roman" w:hAnsi="Arial" w:cs="Arial"/>
                <w:sz w:val="18"/>
                <w:szCs w:val="18"/>
                <w:lang w:eastAsia="pl-PL"/>
              </w:rPr>
              <w:t xml:space="preserve">, a także </w:t>
            </w:r>
            <w:r w:rsidRPr="00FB5C3F">
              <w:rPr>
                <w:rFonts w:ascii="Arial" w:eastAsia="Times New Roman" w:hAnsi="Arial" w:cs="Arial"/>
                <w:sz w:val="18"/>
                <w:szCs w:val="18"/>
                <w:lang w:eastAsia="pl-PL"/>
              </w:rPr>
              <w:t>zakup niezbędnego wyposażenia  gwarantującego wysoką jakość kształcenia</w:t>
            </w:r>
            <w:r>
              <w:rPr>
                <w:rFonts w:ascii="Arial" w:eastAsia="Times New Roman" w:hAnsi="Arial" w:cs="Arial"/>
                <w:sz w:val="18"/>
                <w:szCs w:val="18"/>
                <w:lang w:eastAsia="pl-PL"/>
              </w:rPr>
              <w:t>.</w:t>
            </w:r>
          </w:p>
          <w:p w:rsidR="004148D6"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lastRenderedPageBreak/>
              <w:t xml:space="preserve">Jeśli </w:t>
            </w:r>
            <w:r>
              <w:rPr>
                <w:rFonts w:ascii="Arial" w:eastAsia="Times New Roman" w:hAnsi="Arial" w:cs="Arial"/>
                <w:sz w:val="18"/>
                <w:szCs w:val="18"/>
                <w:lang w:eastAsia="pl-PL"/>
              </w:rPr>
              <w:t>beneficjent posiada kilka</w:t>
            </w:r>
            <w:r w:rsidRPr="006A5013">
              <w:rPr>
                <w:rFonts w:ascii="Arial" w:eastAsia="Times New Roman" w:hAnsi="Arial" w:cs="Arial"/>
                <w:sz w:val="18"/>
                <w:szCs w:val="18"/>
                <w:lang w:eastAsia="pl-PL"/>
              </w:rPr>
              <w:t xml:space="preserve"> obiektów</w:t>
            </w:r>
            <w:r>
              <w:rPr>
                <w:rFonts w:ascii="Arial" w:eastAsia="Times New Roman" w:hAnsi="Arial" w:cs="Arial"/>
                <w:sz w:val="18"/>
                <w:szCs w:val="18"/>
                <w:lang w:eastAsia="pl-PL"/>
              </w:rPr>
              <w:t xml:space="preserve"> budowlanych</w:t>
            </w:r>
            <w:r w:rsidRPr="006A5013">
              <w:rPr>
                <w:rFonts w:ascii="Arial" w:eastAsia="Times New Roman" w:hAnsi="Arial" w:cs="Arial"/>
                <w:sz w:val="18"/>
                <w:szCs w:val="18"/>
                <w:lang w:eastAsia="pl-PL"/>
              </w:rPr>
              <w:t>, należy zliczyć wszystkie, które</w:t>
            </w:r>
            <w:r>
              <w:rPr>
                <w:rFonts w:ascii="Arial" w:eastAsia="Times New Roman" w:hAnsi="Arial" w:cs="Arial"/>
                <w:sz w:val="18"/>
                <w:szCs w:val="18"/>
                <w:lang w:eastAsia="pl-PL"/>
              </w:rPr>
              <w:t xml:space="preserve"> zostały </w:t>
            </w:r>
            <w:r w:rsidR="00FB5C3F">
              <w:rPr>
                <w:rFonts w:ascii="Arial" w:eastAsia="Times New Roman" w:hAnsi="Arial" w:cs="Arial"/>
                <w:sz w:val="18"/>
                <w:szCs w:val="18"/>
                <w:lang w:eastAsia="pl-PL"/>
              </w:rPr>
              <w:t>wsparte</w:t>
            </w:r>
            <w:r w:rsidR="00B43F74">
              <w:rPr>
                <w:rFonts w:ascii="Arial" w:eastAsia="Times New Roman" w:hAnsi="Arial" w:cs="Arial"/>
                <w:sz w:val="18"/>
                <w:szCs w:val="18"/>
                <w:lang w:eastAsia="pl-PL"/>
              </w:rPr>
              <w:t xml:space="preserve"> </w:t>
            </w:r>
            <w:r>
              <w:rPr>
                <w:rFonts w:ascii="Arial" w:eastAsia="Times New Roman" w:hAnsi="Arial" w:cs="Arial"/>
                <w:sz w:val="18"/>
                <w:szCs w:val="18"/>
                <w:lang w:eastAsia="pl-PL"/>
              </w:rPr>
              <w:t>w ramach projektu.</w:t>
            </w:r>
          </w:p>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r>
      <w:tr w:rsidR="004148D6" w:rsidRPr="004A62DA" w:rsidTr="00D20FB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F3A8C" w:rsidRDefault="004148D6" w:rsidP="004148D6">
            <w:pPr>
              <w:jc w:val="left"/>
              <w:rPr>
                <w:rFonts w:ascii="Arial" w:hAnsi="Arial" w:cs="Arial"/>
                <w:sz w:val="18"/>
                <w:szCs w:val="18"/>
              </w:rPr>
            </w:pPr>
            <w:r w:rsidRPr="004148D6">
              <w:rPr>
                <w:rFonts w:ascii="Arial" w:hAnsi="Arial" w:cs="Arial"/>
                <w:sz w:val="18"/>
                <w:szCs w:val="18"/>
              </w:rPr>
              <w:lastRenderedPageBreak/>
              <w:t>Liczba zakupionego wyposażenia w obiektach objętych wsparciem</w:t>
            </w:r>
          </w:p>
        </w:tc>
        <w:tc>
          <w:tcPr>
            <w:tcW w:w="1107" w:type="dxa"/>
            <w:vAlign w:val="center"/>
            <w:hideMark/>
          </w:tcPr>
          <w:p w:rsidR="004148D6" w:rsidRPr="004F3A8C"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szt.</w:t>
            </w:r>
          </w:p>
        </w:tc>
        <w:tc>
          <w:tcPr>
            <w:tcW w:w="119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specyficzny</w:t>
            </w:r>
          </w:p>
        </w:tc>
        <w:tc>
          <w:tcPr>
            <w:tcW w:w="969"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projekt</w:t>
            </w:r>
          </w:p>
        </w:tc>
        <w:tc>
          <w:tcPr>
            <w:tcW w:w="128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502" w:type="dxa"/>
          </w:tcPr>
          <w:p w:rsidR="004148D6" w:rsidRPr="006A5013" w:rsidRDefault="00B43F74" w:rsidP="00E712D1">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 xml:space="preserve">Wskaźnik odnosi się do liczby zakupionego wyposażenia </w:t>
            </w:r>
            <w:r w:rsidR="00FA349A">
              <w:rPr>
                <w:rFonts w:ascii="Arial" w:eastAsia="Times New Roman" w:hAnsi="Arial" w:cs="Arial"/>
                <w:sz w:val="18"/>
                <w:szCs w:val="18"/>
                <w:lang w:eastAsia="pl-PL"/>
              </w:rPr>
              <w:t xml:space="preserve">(spełniającego wymogi kwalifikowalności wydatków określonych dla środków trwałych w Działaniu 13.5) </w:t>
            </w:r>
            <w:r>
              <w:rPr>
                <w:rFonts w:ascii="Arial" w:eastAsia="Times New Roman" w:hAnsi="Arial" w:cs="Arial"/>
                <w:sz w:val="18"/>
                <w:szCs w:val="18"/>
                <w:lang w:eastAsia="pl-PL"/>
              </w:rPr>
              <w:t xml:space="preserve">w obiektach objętych wsparciem. Przez sztukę wyposażenia należy rozumieć przedmiot ruchomy lub urządzenie, stanowiące jednostkę niepodzielną oraz funkcjonalnie </w:t>
            </w:r>
            <w:r w:rsidR="00E712D1">
              <w:rPr>
                <w:rFonts w:ascii="Arial" w:eastAsia="Times New Roman" w:hAnsi="Arial" w:cs="Arial"/>
                <w:sz w:val="18"/>
                <w:szCs w:val="18"/>
                <w:lang w:eastAsia="pl-PL"/>
              </w:rPr>
              <w:t>sprawną (mogącą samodzielnie pełnić określoną funkcję dla użytkowników), niezbędną do prowadzenia procesu edukacyjno-wychowawczego w przedszkolu.</w:t>
            </w:r>
          </w:p>
        </w:tc>
      </w:tr>
      <w:tr w:rsidR="004148D6" w:rsidRPr="004A62DA" w:rsidTr="00D20FBE">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F3A8C" w:rsidRDefault="004148D6" w:rsidP="004148D6">
            <w:pPr>
              <w:jc w:val="left"/>
              <w:rPr>
                <w:rFonts w:ascii="Arial" w:hAnsi="Arial" w:cs="Arial"/>
                <w:sz w:val="18"/>
                <w:szCs w:val="18"/>
              </w:rPr>
            </w:pPr>
            <w:r w:rsidRPr="004F3A8C">
              <w:rPr>
                <w:rFonts w:ascii="Arial" w:hAnsi="Arial" w:cs="Arial"/>
                <w:sz w:val="18"/>
                <w:szCs w:val="18"/>
              </w:rPr>
              <w:t xml:space="preserve">Liczba obiektów dostosowanych do potrzeb osób z niepełnosprawnościami  </w:t>
            </w:r>
          </w:p>
        </w:tc>
        <w:tc>
          <w:tcPr>
            <w:tcW w:w="1107" w:type="dxa"/>
            <w:vAlign w:val="center"/>
            <w:hideMark/>
          </w:tcPr>
          <w:p w:rsidR="004148D6" w:rsidRPr="004F3A8C"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F3A8C">
              <w:rPr>
                <w:rFonts w:ascii="Arial" w:hAnsi="Arial" w:cs="Arial"/>
                <w:sz w:val="18"/>
                <w:szCs w:val="18"/>
              </w:rPr>
              <w:t>szt.</w:t>
            </w:r>
          </w:p>
        </w:tc>
        <w:tc>
          <w:tcPr>
            <w:tcW w:w="119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502" w:type="dxa"/>
          </w:tcPr>
          <w:p w:rsidR="004148D6" w:rsidRPr="006A5013"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Wskaźnik odnosi się do liczby obiektów</w:t>
            </w:r>
            <w:r>
              <w:rPr>
                <w:rFonts w:ascii="Arial" w:eastAsia="Times New Roman" w:hAnsi="Arial" w:cs="Arial"/>
                <w:sz w:val="18"/>
                <w:szCs w:val="18"/>
                <w:lang w:eastAsia="pl-PL"/>
              </w:rPr>
              <w:t xml:space="preserve"> budowlanych</w:t>
            </w:r>
            <w:r w:rsidRPr="006A5013">
              <w:rPr>
                <w:rFonts w:ascii="Arial" w:eastAsia="Times New Roman" w:hAnsi="Arial" w:cs="Arial"/>
                <w:sz w:val="18"/>
                <w:szCs w:val="18"/>
                <w:lang w:eastAsia="pl-PL"/>
              </w:rPr>
              <w:t>,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48D6"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C11AD5">
              <w:rPr>
                <w:rFonts w:ascii="Arial" w:eastAsia="Times New Roman" w:hAnsi="Arial" w:cs="Arial"/>
                <w:sz w:val="18"/>
                <w:szCs w:val="18"/>
                <w:lang w:eastAsia="pl-PL"/>
              </w:rPr>
              <w:t xml:space="preserve">Przed realizacją projektu, obiekt </w:t>
            </w:r>
            <w:r>
              <w:rPr>
                <w:rFonts w:ascii="Arial" w:eastAsia="Times New Roman" w:hAnsi="Arial" w:cs="Arial"/>
                <w:sz w:val="18"/>
                <w:szCs w:val="18"/>
                <w:lang w:eastAsia="pl-PL"/>
              </w:rPr>
              <w:t xml:space="preserve">budowlany </w:t>
            </w:r>
            <w:r w:rsidRPr="00C11AD5">
              <w:rPr>
                <w:rFonts w:ascii="Arial" w:eastAsia="Times New Roman" w:hAnsi="Arial" w:cs="Arial"/>
                <w:sz w:val="18"/>
                <w:szCs w:val="18"/>
                <w:lang w:eastAsia="pl-PL"/>
              </w:rPr>
              <w:t>nie może spełniać minimalnych wymogów przewidzianych przez prawo budowlane, natomiast po realizacji projektu, aby obiekt został wliczony do wskaźnika, musi w pełni spełniać te wymogi.</w:t>
            </w:r>
          </w:p>
          <w:p w:rsidR="004148D6" w:rsidRPr="006A5013"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Jako obiekty budowlane należy rozumieć konstrukcje połączone z gruntem w sposób</w:t>
            </w:r>
            <w:r>
              <w:rPr>
                <w:rFonts w:ascii="Arial" w:eastAsia="Times New Roman" w:hAnsi="Arial" w:cs="Arial"/>
                <w:sz w:val="18"/>
                <w:szCs w:val="18"/>
                <w:lang w:eastAsia="pl-PL"/>
              </w:rPr>
              <w:t xml:space="preserve"> </w:t>
            </w:r>
            <w:r w:rsidRPr="006A5013">
              <w:rPr>
                <w:rFonts w:ascii="Arial" w:eastAsia="Times New Roman" w:hAnsi="Arial" w:cs="Arial"/>
                <w:sz w:val="18"/>
                <w:szCs w:val="18"/>
                <w:lang w:eastAsia="pl-PL"/>
              </w:rPr>
              <w:t>trwały, wykonane z materiałów budowlanych i elementów składowych, będące</w:t>
            </w:r>
            <w:r>
              <w:rPr>
                <w:rFonts w:ascii="Arial" w:eastAsia="Times New Roman" w:hAnsi="Arial" w:cs="Arial"/>
                <w:sz w:val="18"/>
                <w:szCs w:val="18"/>
                <w:lang w:eastAsia="pl-PL"/>
              </w:rPr>
              <w:t xml:space="preserve"> </w:t>
            </w:r>
            <w:r w:rsidRPr="006A5013">
              <w:rPr>
                <w:rFonts w:ascii="Arial" w:eastAsia="Times New Roman" w:hAnsi="Arial" w:cs="Arial"/>
                <w:sz w:val="18"/>
                <w:szCs w:val="18"/>
                <w:lang w:eastAsia="pl-PL"/>
              </w:rPr>
              <w:t>wynikiem prac budowlanych (wg. def. PKOB).</w:t>
            </w:r>
          </w:p>
          <w:p w:rsidR="004148D6" w:rsidRPr="006A5013"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Należy podać liczbę obiektów</w:t>
            </w:r>
            <w:r>
              <w:rPr>
                <w:rFonts w:ascii="Arial" w:eastAsia="Times New Roman" w:hAnsi="Arial" w:cs="Arial"/>
                <w:sz w:val="18"/>
                <w:szCs w:val="18"/>
                <w:lang w:eastAsia="pl-PL"/>
              </w:rPr>
              <w:t xml:space="preserve"> budowlanych</w:t>
            </w:r>
            <w:r w:rsidRPr="006A5013">
              <w:rPr>
                <w:rFonts w:ascii="Arial" w:eastAsia="Times New Roman" w:hAnsi="Arial" w:cs="Arial"/>
                <w:sz w:val="18"/>
                <w:szCs w:val="18"/>
                <w:lang w:eastAsia="pl-PL"/>
              </w:rPr>
              <w:t>, a nie sprzętów, urządzeń itp., w które obiekty zaopatrzono.</w:t>
            </w:r>
          </w:p>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Jeśli instytucja, zakład itp. składa się z kilku obiektów</w:t>
            </w:r>
            <w:r>
              <w:rPr>
                <w:rFonts w:ascii="Arial" w:eastAsia="Times New Roman" w:hAnsi="Arial" w:cs="Arial"/>
                <w:sz w:val="18"/>
                <w:szCs w:val="18"/>
                <w:lang w:eastAsia="pl-PL"/>
              </w:rPr>
              <w:t xml:space="preserve"> budowlanych</w:t>
            </w:r>
            <w:r w:rsidRPr="006A5013">
              <w:rPr>
                <w:rFonts w:ascii="Arial" w:eastAsia="Times New Roman" w:hAnsi="Arial" w:cs="Arial"/>
                <w:sz w:val="18"/>
                <w:szCs w:val="18"/>
                <w:lang w:eastAsia="pl-PL"/>
              </w:rPr>
              <w:t>, należy zliczyć wszystkie, które dostosowano do potrzeb osób niepełnosprawnych.</w:t>
            </w:r>
          </w:p>
        </w:tc>
      </w:tr>
      <w:tr w:rsidR="004148D6" w:rsidRPr="004A62DA" w:rsidTr="00D20FB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F3A8C" w:rsidRDefault="004148D6" w:rsidP="004148D6">
            <w:pPr>
              <w:jc w:val="left"/>
              <w:rPr>
                <w:rFonts w:ascii="Arial" w:hAnsi="Arial" w:cs="Arial"/>
                <w:sz w:val="18"/>
                <w:szCs w:val="18"/>
              </w:rPr>
            </w:pPr>
            <w:r w:rsidRPr="004F3A8C">
              <w:rPr>
                <w:rFonts w:ascii="Arial" w:hAnsi="Arial" w:cs="Arial"/>
                <w:sz w:val="18"/>
                <w:szCs w:val="18"/>
              </w:rPr>
              <w:t xml:space="preserve">Potencjał objętej wsparciem infrastruktury w zakresie opieki nad dziećmi lub infrastruktury </w:t>
            </w:r>
            <w:r w:rsidRPr="004F3A8C">
              <w:rPr>
                <w:rFonts w:ascii="Arial" w:hAnsi="Arial" w:cs="Arial"/>
                <w:sz w:val="18"/>
                <w:szCs w:val="18"/>
              </w:rPr>
              <w:lastRenderedPageBreak/>
              <w:t>edukacyjnej (CI35)</w:t>
            </w:r>
          </w:p>
        </w:tc>
        <w:tc>
          <w:tcPr>
            <w:tcW w:w="1107" w:type="dxa"/>
            <w:vAlign w:val="center"/>
            <w:hideMark/>
          </w:tcPr>
          <w:p w:rsidR="004148D6" w:rsidRPr="004F3A8C"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3A8C">
              <w:rPr>
                <w:rFonts w:ascii="Arial" w:hAnsi="Arial" w:cs="Arial"/>
                <w:sz w:val="18"/>
                <w:szCs w:val="18"/>
              </w:rPr>
              <w:lastRenderedPageBreak/>
              <w:t>osoby</w:t>
            </w:r>
          </w:p>
        </w:tc>
        <w:tc>
          <w:tcPr>
            <w:tcW w:w="119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wspólny</w:t>
            </w:r>
          </w:p>
        </w:tc>
        <w:tc>
          <w:tcPr>
            <w:tcW w:w="969"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program,</w:t>
            </w:r>
          </w:p>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tc>
        <w:tc>
          <w:tcPr>
            <w:tcW w:w="128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rozliczeniowy</w:t>
            </w:r>
          </w:p>
        </w:tc>
        <w:tc>
          <w:tcPr>
            <w:tcW w:w="116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502" w:type="dxa"/>
          </w:tcPr>
          <w:p w:rsidR="004148D6" w:rsidRPr="00501FBD"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Liczba użytkowników, którzy mogą korzystać z nowo wybudowanej</w:t>
            </w:r>
            <w:r>
              <w:rPr>
                <w:rFonts w:ascii="Arial" w:eastAsia="Times New Roman" w:hAnsi="Arial" w:cs="Arial"/>
                <w:sz w:val="18"/>
                <w:szCs w:val="18"/>
                <w:lang w:eastAsia="pl-PL"/>
              </w:rPr>
              <w:t>, przebudowanej</w:t>
            </w:r>
            <w:r w:rsidRPr="00501FBD">
              <w:rPr>
                <w:rFonts w:ascii="Arial" w:eastAsia="Times New Roman" w:hAnsi="Arial" w:cs="Arial"/>
                <w:sz w:val="18"/>
                <w:szCs w:val="18"/>
                <w:lang w:eastAsia="pl-PL"/>
              </w:rPr>
              <w:t xml:space="preserve"> lub udoskonalonej infrastruktury opieki nad dziećmi lub edukacyjnej.</w:t>
            </w:r>
          </w:p>
          <w:p w:rsidR="004148D6" w:rsidRPr="00501FBD"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lastRenderedPageBreak/>
              <w:t>Przez użytkowników w tym kontekście należy rozumieć dzieci, uczniów lub studentów, nie należy uwzględniać nauczycieli, rodziców lub inn</w:t>
            </w:r>
            <w:r>
              <w:rPr>
                <w:rFonts w:ascii="Arial" w:eastAsia="Times New Roman" w:hAnsi="Arial" w:cs="Arial"/>
                <w:sz w:val="18"/>
                <w:szCs w:val="18"/>
                <w:lang w:eastAsia="pl-PL"/>
              </w:rPr>
              <w:t>ych</w:t>
            </w:r>
            <w:r w:rsidRPr="00501FBD">
              <w:rPr>
                <w:rFonts w:ascii="Arial" w:eastAsia="Times New Roman" w:hAnsi="Arial" w:cs="Arial"/>
                <w:sz w:val="18"/>
                <w:szCs w:val="18"/>
                <w:lang w:eastAsia="pl-PL"/>
              </w:rPr>
              <w:t xml:space="preserve"> os</w:t>
            </w:r>
            <w:r>
              <w:rPr>
                <w:rFonts w:ascii="Arial" w:eastAsia="Times New Roman" w:hAnsi="Arial" w:cs="Arial"/>
                <w:sz w:val="18"/>
                <w:szCs w:val="18"/>
                <w:lang w:eastAsia="pl-PL"/>
              </w:rPr>
              <w:t>ób</w:t>
            </w:r>
            <w:r w:rsidRPr="00501FBD">
              <w:rPr>
                <w:rFonts w:ascii="Arial" w:eastAsia="Times New Roman" w:hAnsi="Arial" w:cs="Arial"/>
                <w:sz w:val="18"/>
                <w:szCs w:val="18"/>
                <w:lang w:eastAsia="pl-PL"/>
              </w:rPr>
              <w:t>, które mogą także korzystać z</w:t>
            </w:r>
            <w:r>
              <w:rPr>
                <w:rFonts w:ascii="Arial" w:eastAsia="Times New Roman" w:hAnsi="Arial" w:cs="Arial"/>
                <w:sz w:val="18"/>
                <w:szCs w:val="18"/>
                <w:lang w:eastAsia="pl-PL"/>
              </w:rPr>
              <w:t>e</w:t>
            </w:r>
            <w:r w:rsidRPr="00501FBD">
              <w:rPr>
                <w:rFonts w:ascii="Arial" w:eastAsia="Times New Roman" w:hAnsi="Arial" w:cs="Arial"/>
                <w:sz w:val="18"/>
                <w:szCs w:val="18"/>
                <w:lang w:eastAsia="pl-PL"/>
              </w:rPr>
              <w:t xml:space="preserve"> </w:t>
            </w:r>
            <w:r>
              <w:rPr>
                <w:rFonts w:ascii="Arial" w:eastAsia="Times New Roman" w:hAnsi="Arial" w:cs="Arial"/>
                <w:sz w:val="18"/>
                <w:szCs w:val="18"/>
                <w:lang w:eastAsia="pl-PL"/>
              </w:rPr>
              <w:t>wspartej</w:t>
            </w:r>
            <w:r w:rsidRPr="00501FBD">
              <w:rPr>
                <w:rFonts w:ascii="Arial" w:eastAsia="Times New Roman" w:hAnsi="Arial" w:cs="Arial"/>
                <w:sz w:val="18"/>
                <w:szCs w:val="18"/>
                <w:lang w:eastAsia="pl-PL"/>
              </w:rPr>
              <w:t xml:space="preserve"> infrastruktury.</w:t>
            </w:r>
          </w:p>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501FBD">
              <w:rPr>
                <w:rFonts w:ascii="Arial" w:eastAsia="Times New Roman" w:hAnsi="Arial" w:cs="Arial"/>
                <w:sz w:val="18"/>
                <w:szCs w:val="18"/>
                <w:lang w:eastAsia="pl-PL"/>
              </w:rPr>
              <w:t>Wskaźnik dotyczy nowych</w:t>
            </w:r>
            <w:r>
              <w:rPr>
                <w:rFonts w:ascii="Arial" w:eastAsia="Times New Roman" w:hAnsi="Arial" w:cs="Arial"/>
                <w:sz w:val="18"/>
                <w:szCs w:val="18"/>
                <w:lang w:eastAsia="pl-PL"/>
              </w:rPr>
              <w:t>, przebudowanych</w:t>
            </w:r>
            <w:r w:rsidRPr="00501FBD">
              <w:rPr>
                <w:rFonts w:ascii="Arial" w:eastAsia="Times New Roman" w:hAnsi="Arial" w:cs="Arial"/>
                <w:sz w:val="18"/>
                <w:szCs w:val="18"/>
                <w:lang w:eastAsia="pl-PL"/>
              </w:rPr>
              <w:t xml:space="preserve"> lub doposaż</w:t>
            </w:r>
            <w:r>
              <w:rPr>
                <w:rFonts w:ascii="Arial" w:eastAsia="Times New Roman" w:hAnsi="Arial" w:cs="Arial"/>
                <w:sz w:val="18"/>
                <w:szCs w:val="18"/>
                <w:lang w:eastAsia="pl-PL"/>
              </w:rPr>
              <w:t>onych</w:t>
            </w:r>
            <w:r w:rsidRPr="00501FBD">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budynków </w:t>
            </w:r>
            <w:r w:rsidRPr="00501FBD">
              <w:rPr>
                <w:rFonts w:ascii="Arial" w:eastAsia="Times New Roman" w:hAnsi="Arial" w:cs="Arial"/>
                <w:sz w:val="18"/>
                <w:szCs w:val="18"/>
                <w:lang w:eastAsia="pl-PL"/>
              </w:rPr>
              <w:t xml:space="preserve">w ramach </w:t>
            </w:r>
            <w:r>
              <w:rPr>
                <w:rFonts w:ascii="Arial" w:eastAsia="Times New Roman" w:hAnsi="Arial" w:cs="Arial"/>
                <w:sz w:val="18"/>
                <w:szCs w:val="18"/>
                <w:lang w:eastAsia="pl-PL"/>
              </w:rPr>
              <w:t>projektu</w:t>
            </w:r>
            <w:r w:rsidRPr="00501FBD">
              <w:rPr>
                <w:rFonts w:ascii="Arial" w:eastAsia="Times New Roman" w:hAnsi="Arial" w:cs="Arial"/>
                <w:sz w:val="18"/>
                <w:szCs w:val="18"/>
                <w:lang w:eastAsia="pl-PL"/>
              </w:rPr>
              <w:t xml:space="preserve">. Wskaźnik mierzy nominalną </w:t>
            </w:r>
            <w:r>
              <w:rPr>
                <w:rFonts w:ascii="Arial" w:eastAsia="Times New Roman" w:hAnsi="Arial" w:cs="Arial"/>
                <w:sz w:val="18"/>
                <w:szCs w:val="18"/>
                <w:lang w:eastAsia="pl-PL"/>
              </w:rPr>
              <w:t>pojemność</w:t>
            </w:r>
            <w:r w:rsidRPr="00501FBD">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całego budynku objętego projektem mimo, iż tylko część tego budynku może zostać ulepszona, np. poprzez doposażenie części pracowni </w:t>
            </w:r>
            <w:r w:rsidRPr="00501FBD">
              <w:rPr>
                <w:rFonts w:ascii="Arial" w:eastAsia="Times New Roman" w:hAnsi="Arial" w:cs="Arial"/>
                <w:sz w:val="18"/>
                <w:szCs w:val="18"/>
                <w:lang w:eastAsia="pl-PL"/>
              </w:rPr>
              <w:t>(</w:t>
            </w:r>
            <w:r>
              <w:rPr>
                <w:rFonts w:ascii="Arial" w:eastAsia="Times New Roman" w:hAnsi="Arial" w:cs="Arial"/>
                <w:sz w:val="18"/>
                <w:szCs w:val="18"/>
                <w:lang w:eastAsia="pl-PL"/>
              </w:rPr>
              <w:t>należy pamiętać, że</w:t>
            </w:r>
            <w:r w:rsidRPr="00501FBD">
              <w:rPr>
                <w:rFonts w:ascii="Arial" w:eastAsia="Times New Roman" w:hAnsi="Arial" w:cs="Arial"/>
                <w:sz w:val="18"/>
                <w:szCs w:val="18"/>
                <w:lang w:eastAsia="pl-PL"/>
              </w:rPr>
              <w:t xml:space="preserve"> liczb</w:t>
            </w:r>
            <w:r>
              <w:rPr>
                <w:rFonts w:ascii="Arial" w:eastAsia="Times New Roman" w:hAnsi="Arial" w:cs="Arial"/>
                <w:sz w:val="18"/>
                <w:szCs w:val="18"/>
                <w:lang w:eastAsia="pl-PL"/>
              </w:rPr>
              <w:t>a</w:t>
            </w:r>
            <w:r w:rsidRPr="00501FBD">
              <w:rPr>
                <w:rFonts w:ascii="Arial" w:eastAsia="Times New Roman" w:hAnsi="Arial" w:cs="Arial"/>
                <w:sz w:val="18"/>
                <w:szCs w:val="18"/>
                <w:lang w:eastAsia="pl-PL"/>
              </w:rPr>
              <w:t xml:space="preserve"> potencjalnych użytkowników</w:t>
            </w:r>
            <w:r>
              <w:rPr>
                <w:rFonts w:ascii="Arial" w:eastAsia="Times New Roman" w:hAnsi="Arial" w:cs="Arial"/>
                <w:sz w:val="18"/>
                <w:szCs w:val="18"/>
                <w:lang w:eastAsia="pl-PL"/>
              </w:rPr>
              <w:t xml:space="preserve"> </w:t>
            </w:r>
            <w:r w:rsidRPr="00501FBD">
              <w:rPr>
                <w:rFonts w:ascii="Arial" w:eastAsia="Times New Roman" w:hAnsi="Arial" w:cs="Arial"/>
                <w:sz w:val="18"/>
                <w:szCs w:val="18"/>
                <w:lang w:eastAsia="pl-PL"/>
              </w:rPr>
              <w:t xml:space="preserve">jest zwykle wyższa lub równa liczbie rzeczywistych użytkowników </w:t>
            </w:r>
            <w:r w:rsidRPr="00C11AD5">
              <w:rPr>
                <w:rFonts w:ascii="Arial" w:eastAsia="Times New Roman" w:hAnsi="Arial" w:cs="Arial"/>
                <w:sz w:val="18"/>
                <w:szCs w:val="18"/>
                <w:lang w:eastAsia="pl-PL"/>
              </w:rPr>
              <w:t xml:space="preserve"> zgodnie z informacjami zawartymi w definicji)</w:t>
            </w:r>
          </w:p>
        </w:tc>
      </w:tr>
      <w:tr w:rsidR="004148D6" w:rsidRPr="004A62DA" w:rsidTr="00D20FBE">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A62DA" w:rsidRDefault="004148D6" w:rsidP="004148D6">
            <w:pPr>
              <w:jc w:val="left"/>
              <w:rPr>
                <w:rFonts w:ascii="Arial" w:hAnsi="Arial" w:cs="Arial"/>
                <w:sz w:val="18"/>
                <w:szCs w:val="18"/>
              </w:rPr>
            </w:pPr>
            <w:r w:rsidRPr="004A62DA">
              <w:rPr>
                <w:rFonts w:ascii="Arial" w:hAnsi="Arial" w:cs="Arial"/>
                <w:sz w:val="18"/>
                <w:szCs w:val="18"/>
              </w:rPr>
              <w:lastRenderedPageBreak/>
              <w:t>Wzrost zatrudnienia we wspieranych podmiotach (innych niż przedsiębiorstwa)</w:t>
            </w:r>
          </w:p>
        </w:tc>
        <w:tc>
          <w:tcPr>
            <w:tcW w:w="1107" w:type="dxa"/>
            <w:vAlign w:val="center"/>
            <w:hideMark/>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A62DA">
              <w:rPr>
                <w:rFonts w:ascii="Arial" w:hAnsi="Arial" w:cs="Arial"/>
                <w:sz w:val="18"/>
                <w:szCs w:val="18"/>
              </w:rPr>
              <w:t>EPC</w:t>
            </w:r>
          </w:p>
        </w:tc>
        <w:tc>
          <w:tcPr>
            <w:tcW w:w="119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rezultat bezpośredni</w:t>
            </w:r>
          </w:p>
        </w:tc>
        <w:tc>
          <w:tcPr>
            <w:tcW w:w="114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502" w:type="dxa"/>
          </w:tcPr>
          <w:p w:rsidR="004148D6" w:rsidRPr="00EE7540"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Nowe miejsca pracy brutto w</w:t>
            </w:r>
            <w:r>
              <w:rPr>
                <w:rFonts w:ascii="Arial" w:eastAsia="Times New Roman" w:hAnsi="Arial" w:cs="Arial"/>
                <w:sz w:val="18"/>
                <w:szCs w:val="18"/>
                <w:lang w:eastAsia="pl-PL"/>
              </w:rPr>
              <w:t>e</w:t>
            </w:r>
            <w:r w:rsidRPr="00EE7540">
              <w:rPr>
                <w:rFonts w:ascii="Arial" w:eastAsia="Times New Roman" w:hAnsi="Arial" w:cs="Arial"/>
                <w:sz w:val="18"/>
                <w:szCs w:val="18"/>
                <w:lang w:eastAsia="pl-PL"/>
              </w:rPr>
              <w:t xml:space="preserve"> wspartych </w:t>
            </w:r>
            <w:r>
              <w:rPr>
                <w:rFonts w:ascii="Arial" w:eastAsia="Times New Roman" w:hAnsi="Arial" w:cs="Arial"/>
                <w:sz w:val="18"/>
                <w:szCs w:val="18"/>
                <w:lang w:eastAsia="pl-PL"/>
              </w:rPr>
              <w:t>podmiotach (innych niż przedsiębiorstwa)</w:t>
            </w:r>
            <w:r w:rsidRPr="00EE7540">
              <w:rPr>
                <w:rFonts w:ascii="Arial" w:eastAsia="Times New Roman" w:hAnsi="Arial" w:cs="Arial"/>
                <w:sz w:val="18"/>
                <w:szCs w:val="18"/>
                <w:lang w:eastAsia="pl-PL"/>
              </w:rPr>
              <w:t xml:space="preserve"> w przeliczeniu </w:t>
            </w:r>
            <w:r>
              <w:rPr>
                <w:rFonts w:ascii="Arial" w:eastAsia="Times New Roman" w:hAnsi="Arial" w:cs="Arial"/>
                <w:sz w:val="18"/>
                <w:szCs w:val="18"/>
                <w:lang w:eastAsia="pl-PL"/>
              </w:rPr>
              <w:t xml:space="preserve">na </w:t>
            </w:r>
            <w:r w:rsidRPr="00EE7540">
              <w:rPr>
                <w:rFonts w:ascii="Arial" w:eastAsia="Times New Roman" w:hAnsi="Arial" w:cs="Arial"/>
                <w:sz w:val="18"/>
                <w:szCs w:val="18"/>
                <w:lang w:eastAsia="pl-PL"/>
              </w:rPr>
              <w:t>ekwiwalenty pełnego czasu pracy (EPC)</w:t>
            </w:r>
            <w:r>
              <w:rPr>
                <w:rFonts w:ascii="Arial" w:eastAsia="Times New Roman" w:hAnsi="Arial" w:cs="Arial"/>
                <w:sz w:val="18"/>
                <w:szCs w:val="18"/>
                <w:lang w:eastAsia="pl-PL"/>
              </w:rPr>
              <w:t xml:space="preserve"> - umowa o prace</w:t>
            </w:r>
            <w:r w:rsidRPr="00EE7540">
              <w:rPr>
                <w:rFonts w:ascii="Arial" w:eastAsia="Times New Roman" w:hAnsi="Arial" w:cs="Arial"/>
                <w:sz w:val="18"/>
                <w:szCs w:val="18"/>
                <w:lang w:eastAsia="pl-PL"/>
              </w:rPr>
              <w:t>.</w:t>
            </w:r>
          </w:p>
          <w:p w:rsidR="004148D6" w:rsidRPr="00EE7540"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 xml:space="preserve">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w:t>
            </w:r>
            <w:r>
              <w:rPr>
                <w:rFonts w:ascii="Arial" w:eastAsia="Times New Roman" w:hAnsi="Arial" w:cs="Arial"/>
                <w:sz w:val="18"/>
                <w:szCs w:val="18"/>
                <w:lang w:eastAsia="pl-PL"/>
              </w:rPr>
              <w:t>podmiocie</w:t>
            </w:r>
            <w:r w:rsidRPr="00EE7540">
              <w:rPr>
                <w:rFonts w:ascii="Arial" w:eastAsia="Times New Roman" w:hAnsi="Arial" w:cs="Arial"/>
                <w:sz w:val="18"/>
                <w:szCs w:val="18"/>
                <w:lang w:eastAsia="pl-PL"/>
              </w:rPr>
              <w:t>.</w:t>
            </w:r>
          </w:p>
          <w:p w:rsidR="004148D6" w:rsidRPr="00EE7540"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 xml:space="preserve">Jeśli łączne zatrudnienie w </w:t>
            </w:r>
            <w:r>
              <w:rPr>
                <w:rFonts w:ascii="Arial" w:eastAsia="Times New Roman" w:hAnsi="Arial" w:cs="Arial"/>
                <w:sz w:val="18"/>
                <w:szCs w:val="18"/>
                <w:lang w:eastAsia="pl-PL"/>
              </w:rPr>
              <w:t>podmiocie</w:t>
            </w:r>
            <w:r w:rsidRPr="00EE7540">
              <w:rPr>
                <w:rFonts w:ascii="Arial" w:eastAsia="Times New Roman" w:hAnsi="Arial" w:cs="Arial"/>
                <w:sz w:val="18"/>
                <w:szCs w:val="18"/>
                <w:lang w:eastAsia="pl-PL"/>
              </w:rPr>
              <w:t xml:space="preserve"> nie wzrasta, wartość jest równa zero - jest to traktowane jako wyrównanie, a nie zwiększenie. Zachowane itp. miejsca pracy nie są wliczane.</w:t>
            </w:r>
          </w:p>
          <w:p w:rsidR="004148D6" w:rsidRPr="00EE7540"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Brutto: Nie bierze się po uwagę pochodzenia pracownika dopóki bezpośrednio przyczynia się do wzrostu łącznego zatrudnienia w</w:t>
            </w:r>
            <w:r>
              <w:rPr>
                <w:rFonts w:ascii="Arial" w:eastAsia="Times New Roman" w:hAnsi="Arial" w:cs="Arial"/>
                <w:sz w:val="18"/>
                <w:szCs w:val="18"/>
                <w:lang w:eastAsia="pl-PL"/>
              </w:rPr>
              <w:t>e</w:t>
            </w:r>
            <w:r w:rsidRPr="00EE7540">
              <w:rPr>
                <w:rFonts w:ascii="Arial" w:eastAsia="Times New Roman" w:hAnsi="Arial" w:cs="Arial"/>
                <w:sz w:val="18"/>
                <w:szCs w:val="18"/>
                <w:lang w:eastAsia="pl-PL"/>
              </w:rPr>
              <w:t xml:space="preserve"> </w:t>
            </w:r>
            <w:r>
              <w:rPr>
                <w:rFonts w:ascii="Arial" w:eastAsia="Times New Roman" w:hAnsi="Arial" w:cs="Arial"/>
                <w:sz w:val="18"/>
                <w:szCs w:val="18"/>
                <w:lang w:eastAsia="pl-PL"/>
              </w:rPr>
              <w:t>organizacji wspartym podmiocie</w:t>
            </w:r>
            <w:r w:rsidRPr="00EE7540">
              <w:rPr>
                <w:rFonts w:ascii="Arial" w:eastAsia="Times New Roman" w:hAnsi="Arial" w:cs="Arial"/>
                <w:sz w:val="18"/>
                <w:szCs w:val="18"/>
                <w:lang w:eastAsia="pl-PL"/>
              </w:rPr>
              <w:t>. Wskaźnik powinien być stosowany, jeśli wzrost zatrudnienia może być wiarygodnie przypisany do wsparcia.</w:t>
            </w:r>
          </w:p>
          <w:p w:rsidR="004148D6"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 xml:space="preserve">Ekwiwalent pełnego czasu pracy: Praca może być </w:t>
            </w:r>
            <w:r>
              <w:rPr>
                <w:rFonts w:ascii="Arial" w:eastAsia="Times New Roman" w:hAnsi="Arial" w:cs="Arial"/>
                <w:sz w:val="18"/>
                <w:szCs w:val="18"/>
                <w:lang w:eastAsia="pl-PL"/>
              </w:rPr>
              <w:t xml:space="preserve">wykonywana </w:t>
            </w:r>
            <w:r w:rsidRPr="00EE7540">
              <w:rPr>
                <w:rFonts w:ascii="Arial" w:eastAsia="Times New Roman" w:hAnsi="Arial" w:cs="Arial"/>
                <w:sz w:val="18"/>
                <w:szCs w:val="18"/>
                <w:lang w:eastAsia="pl-PL"/>
              </w:rPr>
              <w:t>na pełen etat, w niepełnym wymiarze czasu pracy lub sezonowa. Sezonowe i niepełne etaty zostaną przeliczone na EPC za pomocą standardów Międzynarodowej Organizacji Pracy</w:t>
            </w:r>
            <w:r>
              <w:rPr>
                <w:rFonts w:ascii="Arial" w:eastAsia="Times New Roman" w:hAnsi="Arial" w:cs="Arial"/>
                <w:sz w:val="18"/>
                <w:szCs w:val="18"/>
                <w:lang w:eastAsia="pl-PL"/>
              </w:rPr>
              <w:t xml:space="preserve"> </w:t>
            </w:r>
            <w:r w:rsidRPr="00EE7540">
              <w:rPr>
                <w:rFonts w:ascii="Arial" w:eastAsia="Times New Roman" w:hAnsi="Arial" w:cs="Arial"/>
                <w:sz w:val="18"/>
                <w:szCs w:val="18"/>
                <w:lang w:eastAsia="pl-PL"/>
              </w:rPr>
              <w:t xml:space="preserve">/ </w:t>
            </w:r>
            <w:r w:rsidRPr="00EE7540">
              <w:rPr>
                <w:rFonts w:ascii="Arial" w:eastAsia="Times New Roman" w:hAnsi="Arial" w:cs="Arial"/>
                <w:sz w:val="18"/>
                <w:szCs w:val="18"/>
                <w:lang w:eastAsia="pl-PL"/>
              </w:rPr>
              <w:lastRenderedPageBreak/>
              <w:t>statystycznych / innych.</w:t>
            </w:r>
          </w:p>
          <w:p w:rsidR="004148D6" w:rsidRPr="00EE7540"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highlight w:val="green"/>
                <w:lang w:eastAsia="pl-PL"/>
              </w:rPr>
            </w:pPr>
            <w:r>
              <w:rPr>
                <w:rFonts w:ascii="Arial" w:eastAsia="Times New Roman" w:hAnsi="Arial" w:cs="Arial"/>
                <w:sz w:val="18"/>
                <w:szCs w:val="18"/>
                <w:lang w:eastAsia="pl-PL"/>
              </w:rPr>
              <w:t>Trwałość:</w:t>
            </w:r>
            <w:r w:rsidRPr="007878F4">
              <w:rPr>
                <w:rFonts w:ascii="Arial" w:eastAsia="Times New Roman" w:hAnsi="Arial" w:cs="Arial"/>
                <w:sz w:val="18"/>
                <w:szCs w:val="18"/>
                <w:lang w:eastAsia="pl-PL"/>
              </w:rPr>
              <w:t xml:space="preserve"> Zgodnie z art. 71 rozporządzenia ogólnego zachowanie trwałości </w:t>
            </w:r>
            <w:r w:rsidRPr="007878F4">
              <w:rPr>
                <w:rFonts w:ascii="Arial" w:eastAsia="Times New Roman" w:hAnsi="Arial" w:cs="Arial"/>
                <w:b/>
                <w:sz w:val="18"/>
                <w:szCs w:val="18"/>
                <w:lang w:eastAsia="pl-PL"/>
              </w:rPr>
              <w:t>miejsc pracy</w:t>
            </w:r>
            <w:r>
              <w:rPr>
                <w:rFonts w:ascii="Arial" w:eastAsia="Times New Roman" w:hAnsi="Arial" w:cs="Arial"/>
                <w:sz w:val="18"/>
                <w:szCs w:val="18"/>
                <w:lang w:eastAsia="pl-PL"/>
              </w:rPr>
              <w:t xml:space="preserve"> </w:t>
            </w:r>
            <w:r w:rsidRPr="007878F4">
              <w:rPr>
                <w:rFonts w:ascii="Arial" w:eastAsia="Times New Roman" w:hAnsi="Arial" w:cs="Arial"/>
                <w:sz w:val="18"/>
                <w:szCs w:val="18"/>
                <w:lang w:eastAsia="pl-PL"/>
              </w:rPr>
              <w:t xml:space="preserve">wynosi 3 lata od </w:t>
            </w:r>
            <w:r>
              <w:rPr>
                <w:rFonts w:ascii="Arial" w:eastAsia="Times New Roman" w:hAnsi="Arial" w:cs="Arial"/>
                <w:sz w:val="18"/>
                <w:szCs w:val="18"/>
                <w:lang w:eastAsia="pl-PL"/>
              </w:rPr>
              <w:t xml:space="preserve">złożenia </w:t>
            </w:r>
            <w:r w:rsidRPr="007878F4">
              <w:rPr>
                <w:rFonts w:ascii="Arial" w:eastAsia="Times New Roman" w:hAnsi="Arial" w:cs="Arial"/>
                <w:sz w:val="18"/>
                <w:szCs w:val="18"/>
                <w:lang w:eastAsia="pl-PL"/>
              </w:rPr>
              <w:t>wniosku o płatność końcową.</w:t>
            </w:r>
          </w:p>
        </w:tc>
      </w:tr>
      <w:tr w:rsidR="004148D6" w:rsidRPr="004A62DA" w:rsidTr="00D20FB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A62DA" w:rsidRDefault="004148D6" w:rsidP="004148D6">
            <w:pPr>
              <w:jc w:val="left"/>
              <w:rPr>
                <w:rFonts w:ascii="Arial" w:hAnsi="Arial" w:cs="Arial"/>
                <w:sz w:val="18"/>
                <w:szCs w:val="18"/>
              </w:rPr>
            </w:pPr>
            <w:r w:rsidRPr="004A62DA">
              <w:rPr>
                <w:rFonts w:ascii="Arial" w:hAnsi="Arial" w:cs="Arial"/>
                <w:sz w:val="18"/>
                <w:szCs w:val="18"/>
              </w:rPr>
              <w:lastRenderedPageBreak/>
              <w:t>Liczba utrzymanych miejsc pracy</w:t>
            </w:r>
          </w:p>
        </w:tc>
        <w:tc>
          <w:tcPr>
            <w:tcW w:w="1107" w:type="dxa"/>
            <w:vAlign w:val="center"/>
            <w:hideMark/>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A62DA">
              <w:rPr>
                <w:rFonts w:ascii="Arial" w:hAnsi="Arial" w:cs="Arial"/>
                <w:sz w:val="18"/>
                <w:szCs w:val="18"/>
              </w:rPr>
              <w:t>EPC</w:t>
            </w:r>
          </w:p>
        </w:tc>
        <w:tc>
          <w:tcPr>
            <w:tcW w:w="119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rezultat bezpośredni</w:t>
            </w:r>
          </w:p>
        </w:tc>
        <w:tc>
          <w:tcPr>
            <w:tcW w:w="114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502" w:type="dxa"/>
          </w:tcPr>
          <w:p w:rsidR="004148D6" w:rsidRPr="004148D6"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148D6">
              <w:rPr>
                <w:rFonts w:ascii="Arial" w:eastAsia="Times New Roman" w:hAnsi="Arial" w:cs="Arial"/>
                <w:sz w:val="18"/>
                <w:szCs w:val="18"/>
                <w:lang w:eastAsia="pl-PL"/>
              </w:rPr>
              <w:t xml:space="preserve">Nowo utworzone miejsca pracy w wyniku projektu, które nie powodują wzrostu zatrudnienia w organizacji, a więc nie spełniają definicji wskaźnika </w:t>
            </w:r>
            <w:r w:rsidRPr="004148D6">
              <w:rPr>
                <w:rFonts w:ascii="Arial" w:eastAsia="Times New Roman" w:hAnsi="Arial" w:cs="Arial"/>
                <w:i/>
                <w:sz w:val="18"/>
                <w:szCs w:val="18"/>
                <w:lang w:eastAsia="pl-PL"/>
              </w:rPr>
              <w:t>Wzrost zatrudnienia we wspieranych podmiotach (innych niż przedsiębiorstwa</w:t>
            </w:r>
            <w:r w:rsidRPr="004148D6">
              <w:rPr>
                <w:rFonts w:ascii="Arial" w:eastAsia="Times New Roman" w:hAnsi="Arial" w:cs="Arial"/>
                <w:sz w:val="18"/>
                <w:szCs w:val="18"/>
                <w:lang w:eastAsia="pl-PL"/>
              </w:rPr>
              <w:t>) tylko w tym zakresie.</w:t>
            </w:r>
          </w:p>
          <w:p w:rsidR="004148D6" w:rsidRPr="004148D6"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148D6">
              <w:rPr>
                <w:rFonts w:ascii="Arial" w:eastAsia="Times New Roman" w:hAnsi="Arial" w:cs="Arial"/>
                <w:sz w:val="18"/>
                <w:szCs w:val="18"/>
                <w:lang w:eastAsia="pl-PL"/>
              </w:rPr>
              <w:t>Ekwiwalent pełnego czasu pracy: Praca może być wykonywana na pełen etat, w niepełnym wymiarze czasu pracy lub sezonowa. Sezonowe i niepełne etaty zostaną przeliczone na EPC za pomocą standardów Międzynarodowej Organizacji Pracy / statystycznych / innych.</w:t>
            </w:r>
          </w:p>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148D6">
              <w:rPr>
                <w:rFonts w:ascii="Arial" w:eastAsia="Times New Roman" w:hAnsi="Arial" w:cs="Arial"/>
                <w:sz w:val="18"/>
                <w:szCs w:val="18"/>
                <w:lang w:eastAsia="pl-PL"/>
              </w:rPr>
              <w:t xml:space="preserve">Trwałość: Zgodnie z art. 71 rozporządzenia ogólnego zachowanie trwałości </w:t>
            </w:r>
            <w:r w:rsidRPr="004148D6">
              <w:rPr>
                <w:rFonts w:ascii="Arial" w:eastAsia="Times New Roman" w:hAnsi="Arial" w:cs="Arial"/>
                <w:b/>
                <w:sz w:val="18"/>
                <w:szCs w:val="18"/>
                <w:lang w:eastAsia="pl-PL"/>
              </w:rPr>
              <w:t>miejsc pracy</w:t>
            </w:r>
            <w:r w:rsidRPr="004148D6">
              <w:rPr>
                <w:rFonts w:ascii="Arial" w:eastAsia="Times New Roman" w:hAnsi="Arial" w:cs="Arial"/>
                <w:sz w:val="18"/>
                <w:szCs w:val="18"/>
                <w:lang w:eastAsia="pl-PL"/>
              </w:rPr>
              <w:t xml:space="preserve"> wynosi 3 lata od złożenia wniosku o płatność końcową.</w:t>
            </w:r>
          </w:p>
        </w:tc>
      </w:tr>
      <w:tr w:rsidR="004148D6" w:rsidRPr="004A62DA" w:rsidTr="00D20FBE">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A62DA" w:rsidRDefault="004148D6" w:rsidP="004148D6">
            <w:pPr>
              <w:jc w:val="left"/>
              <w:rPr>
                <w:rFonts w:ascii="Arial" w:hAnsi="Arial" w:cs="Arial"/>
                <w:sz w:val="18"/>
                <w:szCs w:val="18"/>
              </w:rPr>
            </w:pPr>
            <w:r w:rsidRPr="004A62DA">
              <w:rPr>
                <w:rFonts w:ascii="Arial" w:hAnsi="Arial" w:cs="Arial"/>
                <w:sz w:val="18"/>
                <w:szCs w:val="18"/>
              </w:rPr>
              <w:t>Liczba nowo utworzonych miejsc pracy - pozostałe formy</w:t>
            </w:r>
          </w:p>
        </w:tc>
        <w:tc>
          <w:tcPr>
            <w:tcW w:w="1107" w:type="dxa"/>
            <w:vAlign w:val="center"/>
            <w:hideMark/>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A62DA">
              <w:rPr>
                <w:rFonts w:ascii="Arial" w:hAnsi="Arial" w:cs="Arial"/>
                <w:sz w:val="18"/>
                <w:szCs w:val="18"/>
              </w:rPr>
              <w:t>EPC</w:t>
            </w:r>
          </w:p>
        </w:tc>
        <w:tc>
          <w:tcPr>
            <w:tcW w:w="119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rezultat bezpośredni</w:t>
            </w:r>
          </w:p>
        </w:tc>
        <w:tc>
          <w:tcPr>
            <w:tcW w:w="114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4148D6" w:rsidRPr="003611D0"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502" w:type="dxa"/>
          </w:tcPr>
          <w:p w:rsidR="004148D6" w:rsidRPr="003611D0"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B2D09">
              <w:rPr>
                <w:rFonts w:ascii="Arial" w:eastAsia="Times New Roman" w:hAnsi="Arial" w:cs="Arial"/>
                <w:sz w:val="18"/>
                <w:szCs w:val="18"/>
                <w:lang w:eastAsia="pl-PL"/>
              </w:rPr>
              <w:t>Nowo utworzone miejsce pracy w wyniku realizacji projektu, nie spełniające żadnej z ww. definicji wskaźników (ani wskaźnika  Wzrost zatrudnienia we wspieranych podmiotach (innych niż przedsiębiorstwa), ani wskaźnika  Liczba utrzymanych miejsc pracy). Do wskaźnika wlicza się np. umowy cywilnoprawne, miejsca pracy do obsługi projektu, nietrwałe miejsca pracy.</w:t>
            </w:r>
          </w:p>
        </w:tc>
      </w:tr>
      <w:tr w:rsidR="004148D6" w:rsidRPr="004A62DA" w:rsidTr="00D20FB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A62DA" w:rsidRDefault="004148D6" w:rsidP="004148D6">
            <w:pPr>
              <w:jc w:val="left"/>
              <w:rPr>
                <w:rFonts w:ascii="Arial" w:hAnsi="Arial" w:cs="Arial"/>
                <w:sz w:val="18"/>
                <w:szCs w:val="18"/>
              </w:rPr>
            </w:pPr>
            <w:r w:rsidRPr="004A62DA">
              <w:rPr>
                <w:rFonts w:ascii="Arial" w:hAnsi="Arial" w:cs="Arial"/>
                <w:sz w:val="18"/>
                <w:szCs w:val="18"/>
              </w:rPr>
              <w:t>Liczba osób objętych szkoleniami / doradztwem w zakresie kompetencji cyfrowych</w:t>
            </w:r>
          </w:p>
        </w:tc>
        <w:tc>
          <w:tcPr>
            <w:tcW w:w="1107" w:type="dxa"/>
            <w:vAlign w:val="center"/>
            <w:hideMark/>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A62DA">
              <w:rPr>
                <w:rFonts w:ascii="Arial" w:hAnsi="Arial" w:cs="Arial"/>
                <w:sz w:val="18"/>
                <w:szCs w:val="18"/>
              </w:rPr>
              <w:t>osoby</w:t>
            </w:r>
          </w:p>
        </w:tc>
        <w:tc>
          <w:tcPr>
            <w:tcW w:w="119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502" w:type="dxa"/>
          </w:tcPr>
          <w:p w:rsidR="004148D6" w:rsidRPr="00C11AD5"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C11AD5">
              <w:rPr>
                <w:rFonts w:ascii="Arial" w:eastAsia="Times New Roman" w:hAnsi="Arial" w:cs="Arial"/>
                <w:sz w:val="18"/>
                <w:szCs w:val="18"/>
                <w:lang w:eastAsia="pl-PL"/>
              </w:rPr>
              <w:t>Liczba osób objętych szkoleniami / doradztwem w zakresie kompetencji cyfrowych</w:t>
            </w:r>
          </w:p>
          <w:p w:rsidR="004148D6" w:rsidRPr="004A62DA" w:rsidRDefault="004148D6" w:rsidP="004148D6">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C11AD5">
              <w:rPr>
                <w:rFonts w:ascii="Arial" w:eastAsia="Times New Roman" w:hAnsi="Arial" w:cs="Arial"/>
                <w:sz w:val="18"/>
                <w:szCs w:val="18"/>
                <w:lang w:eastAsia="pl-PL"/>
              </w:rPr>
              <w:t>Przez kompetencje cyfrowe należy rozumieć umiejętności korzystania z technologii cyfrowych, swobodnego i krytycznego posługiwania się technologiami informacyjno-komunikacyjnymi w pracy, czasie wolnym, kształceniu i komunikacji.  Bazują one na podstawowym technicznym korzystaniu z komputera i Internetu i są badane przez umiejętność wykonania  sześciu podstawowych operacji komputerowych i sześciu operacji internetowych.</w:t>
            </w:r>
          </w:p>
        </w:tc>
      </w:tr>
      <w:tr w:rsidR="004148D6" w:rsidRPr="004A62DA" w:rsidTr="00D20FBE">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91" w:type="dxa"/>
            <w:vAlign w:val="center"/>
            <w:hideMark/>
          </w:tcPr>
          <w:p w:rsidR="004148D6" w:rsidRPr="004A62DA" w:rsidRDefault="004148D6" w:rsidP="004148D6">
            <w:pPr>
              <w:jc w:val="left"/>
              <w:rPr>
                <w:rFonts w:ascii="Arial" w:hAnsi="Arial" w:cs="Arial"/>
                <w:sz w:val="18"/>
                <w:szCs w:val="18"/>
              </w:rPr>
            </w:pPr>
            <w:r w:rsidRPr="004A62DA">
              <w:rPr>
                <w:rFonts w:ascii="Arial" w:hAnsi="Arial" w:cs="Arial"/>
                <w:sz w:val="18"/>
                <w:szCs w:val="18"/>
              </w:rPr>
              <w:lastRenderedPageBreak/>
              <w:t>Liczba projektów, w których sfinansowano koszty racjonalnych usprawnień dla osób z niepełnosprawnościami</w:t>
            </w:r>
          </w:p>
        </w:tc>
        <w:tc>
          <w:tcPr>
            <w:tcW w:w="1107" w:type="dxa"/>
            <w:vAlign w:val="center"/>
            <w:hideMark/>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A62DA">
              <w:rPr>
                <w:rFonts w:ascii="Arial" w:hAnsi="Arial" w:cs="Arial"/>
                <w:sz w:val="18"/>
                <w:szCs w:val="18"/>
              </w:rPr>
              <w:t>szt.</w:t>
            </w:r>
          </w:p>
        </w:tc>
        <w:tc>
          <w:tcPr>
            <w:tcW w:w="119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produkt</w:t>
            </w:r>
          </w:p>
        </w:tc>
        <w:tc>
          <w:tcPr>
            <w:tcW w:w="114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kluczowy - krajowy</w:t>
            </w:r>
          </w:p>
        </w:tc>
        <w:tc>
          <w:tcPr>
            <w:tcW w:w="969"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projekt</w:t>
            </w:r>
          </w:p>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62DA">
              <w:rPr>
                <w:rFonts w:ascii="Arial" w:eastAsia="Times New Roman" w:hAnsi="Arial" w:cs="Arial"/>
                <w:sz w:val="18"/>
                <w:szCs w:val="18"/>
                <w:lang w:eastAsia="pl-PL"/>
              </w:rPr>
              <w:t>informacyjny</w:t>
            </w:r>
          </w:p>
        </w:tc>
        <w:tc>
          <w:tcPr>
            <w:tcW w:w="1167" w:type="dxa"/>
            <w:vAlign w:val="center"/>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502" w:type="dxa"/>
          </w:tcPr>
          <w:p w:rsidR="004148D6" w:rsidRPr="004A62DA" w:rsidRDefault="004148D6" w:rsidP="004148D6">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D20FBE">
              <w:rPr>
                <w:rFonts w:ascii="Arial" w:eastAsia="Times New Roman" w:hAnsi="Arial" w:cs="Arial"/>
                <w:sz w:val="18"/>
                <w:szCs w:val="18"/>
                <w:lang w:eastAsia="pl-PL"/>
              </w:rPr>
              <w:t>Liczba projektów, w których sfinansowano koszty racjonalnych usprawnień dla osób z niepełnosprawnościami</w:t>
            </w:r>
          </w:p>
        </w:tc>
      </w:tr>
    </w:tbl>
    <w:p w:rsidR="004A62DA" w:rsidRDefault="004A62DA" w:rsidP="004A62DA">
      <w:pPr>
        <w:jc w:val="center"/>
        <w:rPr>
          <w:rFonts w:ascii="Arial" w:hAnsi="Arial" w:cs="Arial"/>
          <w:b/>
        </w:rPr>
      </w:pPr>
    </w:p>
    <w:p w:rsidR="00D20FBE" w:rsidRDefault="00D20FBE" w:rsidP="004A62DA">
      <w:pPr>
        <w:jc w:val="center"/>
        <w:rPr>
          <w:rFonts w:ascii="Arial" w:hAnsi="Arial" w:cs="Arial"/>
          <w:b/>
        </w:rPr>
      </w:pPr>
    </w:p>
    <w:p w:rsidR="00D20FBE" w:rsidRDefault="00D20FBE" w:rsidP="004A62DA">
      <w:pPr>
        <w:jc w:val="center"/>
        <w:rPr>
          <w:rFonts w:ascii="Arial" w:hAnsi="Arial" w:cs="Arial"/>
          <w:b/>
        </w:rPr>
      </w:pPr>
    </w:p>
    <w:p w:rsidR="00D20FBE" w:rsidRDefault="00D20FBE" w:rsidP="004A62DA">
      <w:pPr>
        <w:jc w:val="center"/>
        <w:rPr>
          <w:rFonts w:ascii="Arial" w:hAnsi="Arial" w:cs="Arial"/>
          <w:b/>
        </w:rPr>
      </w:pPr>
    </w:p>
    <w:p w:rsidR="00D20FBE" w:rsidRDefault="00D20FBE" w:rsidP="004A62DA">
      <w:pPr>
        <w:jc w:val="center"/>
        <w:rPr>
          <w:rFonts w:ascii="Arial" w:hAnsi="Arial" w:cs="Arial"/>
          <w:b/>
        </w:rPr>
      </w:pPr>
    </w:p>
    <w:p w:rsidR="00D20FBE" w:rsidRDefault="00D20FBE" w:rsidP="004A62DA">
      <w:pPr>
        <w:jc w:val="center"/>
        <w:rPr>
          <w:rFonts w:ascii="Arial" w:hAnsi="Arial" w:cs="Arial"/>
          <w:b/>
        </w:rPr>
      </w:pPr>
    </w:p>
    <w:p w:rsidR="00D20FBE" w:rsidRDefault="00D20FBE" w:rsidP="004A62DA">
      <w:pPr>
        <w:jc w:val="center"/>
        <w:rPr>
          <w:rFonts w:ascii="Arial" w:hAnsi="Arial" w:cs="Arial"/>
          <w:b/>
        </w:rPr>
      </w:pPr>
    </w:p>
    <w:p w:rsidR="00D20FBE" w:rsidRDefault="00D20FBE" w:rsidP="004A62DA">
      <w:pPr>
        <w:jc w:val="center"/>
        <w:rPr>
          <w:rFonts w:ascii="Arial" w:hAnsi="Arial" w:cs="Arial"/>
          <w:b/>
        </w:rPr>
      </w:pPr>
    </w:p>
    <w:p w:rsidR="00D20FBE" w:rsidRDefault="00D20FBE" w:rsidP="004A62DA">
      <w:pPr>
        <w:jc w:val="center"/>
        <w:rPr>
          <w:rFonts w:ascii="Arial" w:hAnsi="Arial" w:cs="Arial"/>
          <w:b/>
        </w:rPr>
      </w:pPr>
    </w:p>
    <w:p w:rsidR="00D20FBE" w:rsidRDefault="00D20FBE" w:rsidP="004A62DA">
      <w:pPr>
        <w:jc w:val="center"/>
        <w:rPr>
          <w:rFonts w:ascii="Arial" w:hAnsi="Arial" w:cs="Arial"/>
          <w:b/>
        </w:rPr>
      </w:pPr>
    </w:p>
    <w:p w:rsidR="004A62DA" w:rsidRDefault="004A62DA" w:rsidP="004A62DA">
      <w:r>
        <w:t xml:space="preserve">Zgodnie z Wytycznymi w zakresie monitorowania postępów rzeczowych realizacji programów operacyjnych na lata 2014-2020 Beneficjent ma obowiązek wybrać wszystkie adekwatne do zakresu projektu wskaźniki kluczowe (z listy WLWK). </w:t>
      </w:r>
    </w:p>
    <w:p w:rsidR="004A62DA" w:rsidRDefault="004A62DA" w:rsidP="004A62DA">
      <w:r>
        <w:t>By spełnić wymogi MIR a także zagwarantować sprawną realizację programu, na etapie oceny formalnej (kryteria formalne poprawności) wniosku o dofinansowanie sprawdzane jest c</w:t>
      </w:r>
      <w:r w:rsidRPr="00BE17D7">
        <w:t>zy projekt zakłada wskaźniki adekwatne do zakresu rzeczowego i czy wybrano wszystkie adekwatne wskaźniki (w tym w</w:t>
      </w:r>
      <w:r>
        <w:t>skaźniki z ram wykonania).</w:t>
      </w:r>
    </w:p>
    <w:p w:rsidR="004A62DA" w:rsidRDefault="004A62DA" w:rsidP="004A62DA">
      <w:r>
        <w:t>Ponadto, by zagwarantować sprawne wdrażanie RPO, wobec tych ze wskaźników umieszczonych w SzOOP, które są mierzone również na poziomie programu (w tym wskaźniki RW) dokonywana jest ocena efektywności kosztowej uzyskania jednej jednostki danego wskaźnika na etapie oceny merytorycznej wniosku o dofinansowanie (kryteria trafności merytorycznej – kryteria skuteczności/efektywności). W przypadku podpisania umowy jakiekolwiek zmiany w wartościach docelowych tych wskaźników skutkują ponowną oceną merytoryczną wniosku.</w:t>
      </w:r>
    </w:p>
    <w:p w:rsidR="00B67300" w:rsidRDefault="00B67300" w:rsidP="004A62DA"/>
    <w:p w:rsidR="00B67300" w:rsidRPr="006224F3" w:rsidRDefault="00B67300" w:rsidP="00B67300">
      <w:pPr>
        <w:rPr>
          <w:b/>
        </w:rPr>
      </w:pPr>
      <w:r w:rsidRPr="006224F3">
        <w:rPr>
          <w:b/>
        </w:rPr>
        <w:t xml:space="preserve">W momencie uzupełnienia przez IZ w efekcie przeprowadzenia badania ewaluacyjnego brakujących wskaźników rezultatu bezpośredniego Beneficjent ma obowiązek zaktualizować wniosek o dofinansowanie umieszczając wszystkie adekwatne do zakresu projektu wskaźniki rezultatu bezpośredniego. </w:t>
      </w:r>
    </w:p>
    <w:p w:rsidR="004F3A8C" w:rsidRDefault="004F3A8C" w:rsidP="004F3A8C"/>
    <w:p w:rsidR="004F3A8C" w:rsidRDefault="004F3A8C" w:rsidP="004F3A8C">
      <w:r>
        <w:lastRenderedPageBreak/>
        <w:t>Wybrane z listy umieszczonej w SzOOP wskaźniki produktu i rezultatu bezpośredniego w danym projekcie podlegają monitorowaniu w trakcie postępów realizacji projektu:</w:t>
      </w:r>
    </w:p>
    <w:p w:rsidR="004F3A8C" w:rsidRDefault="004F3A8C" w:rsidP="004F3A8C">
      <w:r>
        <w:t>- wskaźniki produktu – wykazywane są we wniosku o płatność za okres, w którym osiągnięto daną wartość wskaźnika, przy czym osiągnięte wartości powinny zostać wykazane najpóźniej we wniosku o płatność końcową,</w:t>
      </w:r>
    </w:p>
    <w:p w:rsidR="004F3A8C" w:rsidRDefault="004F3A8C" w:rsidP="004F3A8C">
      <w:r>
        <w:t>- wskaźniki rezultatu bezpośredniego – wykazywane są co do zasady w okresie 12 miesięcy od zakończenia okresu realizacji projektu określonego w umowie/decyzji o dofinansowaniu projektu lub, o ile wynika to ze specyfiki projektu, od uruchomienia przedsięwzięcia, bądź też w okresie trwałości projektu, na zasadach określonych przez IZ - w przypadku wskaźników, których termin realizacji został wydłużony na wniosek beneficjenta i za zgodą IZ, przy czym osiągnięte wartości wykazywane są w korekcie do wniosku o płatność końcową.</w:t>
      </w:r>
    </w:p>
    <w:p w:rsidR="004F3A8C" w:rsidRDefault="004F3A8C" w:rsidP="004F3A8C"/>
    <w:p w:rsidR="004F3A8C" w:rsidRDefault="004F3A8C" w:rsidP="004F3A8C">
      <w:r>
        <w:t xml:space="preserve">Oprócz wskaźników o charakterze rozliczeniowym (produkt i rezultat bezpośredni znajdujący się w SzOOP) Beneficjent ma również obowiązek monitorować w ramach projektów wskaźniki o charakterze informacyjnym, z osiągnięcia których nie jest rozliczany. </w:t>
      </w:r>
    </w:p>
    <w:p w:rsidR="004A62DA" w:rsidRPr="004A62DA" w:rsidRDefault="004A62DA" w:rsidP="004A62DA">
      <w:pPr>
        <w:rPr>
          <w:rFonts w:ascii="Arial" w:hAnsi="Arial" w:cs="Arial"/>
          <w:b/>
        </w:rPr>
      </w:pPr>
    </w:p>
    <w:sectPr w:rsidR="004A62DA" w:rsidRPr="004A62DA" w:rsidSect="00D20FBE">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99" w:rsidRDefault="00503C99" w:rsidP="004A62DA">
      <w:pPr>
        <w:spacing w:line="240" w:lineRule="auto"/>
      </w:pPr>
      <w:r>
        <w:separator/>
      </w:r>
    </w:p>
  </w:endnote>
  <w:endnote w:type="continuationSeparator" w:id="0">
    <w:p w:rsidR="00503C99" w:rsidRDefault="00503C99" w:rsidP="004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2" w:rsidRDefault="00ED2C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2" w:rsidRDefault="00ED2C92" w:rsidP="00ED2C92">
    <w:pPr>
      <w:pStyle w:val="Stopka"/>
      <w:jc w:val="center"/>
    </w:pPr>
    <w:bookmarkStart w:id="0" w:name="_GoBack"/>
    <w:r>
      <w:rPr>
        <w:noProof/>
        <w:lang w:eastAsia="pl-PL"/>
      </w:rPr>
      <w:drawing>
        <wp:inline distT="0" distB="0" distL="0" distR="0" wp14:anchorId="42488EBF">
          <wp:extent cx="5694045" cy="628015"/>
          <wp:effectExtent l="0" t="0" r="190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4045" cy="628015"/>
                  </a:xfrm>
                  <a:prstGeom prst="rect">
                    <a:avLst/>
                  </a:prstGeom>
                  <a:noFill/>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2" w:rsidRDefault="00ED2C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99" w:rsidRDefault="00503C99" w:rsidP="004A62DA">
      <w:pPr>
        <w:spacing w:line="240" w:lineRule="auto"/>
      </w:pPr>
      <w:r>
        <w:separator/>
      </w:r>
    </w:p>
  </w:footnote>
  <w:footnote w:type="continuationSeparator" w:id="0">
    <w:p w:rsidR="00503C99" w:rsidRDefault="00503C99" w:rsidP="004A62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2" w:rsidRDefault="00ED2C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39" w:rsidRDefault="00ED0339" w:rsidP="00ED0339">
    <w:pPr>
      <w:pStyle w:val="Nagwek"/>
      <w:jc w:val="right"/>
      <w:rPr>
        <w:i/>
        <w:sz w:val="16"/>
        <w:szCs w:val="16"/>
      </w:rPr>
    </w:pPr>
    <w:r w:rsidRPr="007A77A5">
      <w:rPr>
        <w:i/>
        <w:sz w:val="16"/>
        <w:szCs w:val="16"/>
      </w:rPr>
      <w:t xml:space="preserve">Załącznik nr 5 </w:t>
    </w:r>
  </w:p>
  <w:p w:rsidR="00ED0339" w:rsidRPr="007A77A5" w:rsidRDefault="00ED0339" w:rsidP="00ED0339">
    <w:pPr>
      <w:pStyle w:val="Nagwek"/>
      <w:jc w:val="right"/>
      <w:rPr>
        <w:i/>
        <w:sz w:val="16"/>
        <w:szCs w:val="16"/>
      </w:rPr>
    </w:pPr>
    <w:r w:rsidRPr="007A77A5">
      <w:rPr>
        <w:i/>
        <w:sz w:val="16"/>
        <w:szCs w:val="16"/>
      </w:rPr>
      <w:t xml:space="preserve">do Regulaminu konkursu </w:t>
    </w:r>
  </w:p>
  <w:p w:rsidR="00ED0339" w:rsidRPr="00ED0339" w:rsidRDefault="00ED0339" w:rsidP="00ED0339">
    <w:pPr>
      <w:pStyle w:val="Nagwek"/>
      <w:jc w:val="right"/>
      <w:rPr>
        <w:i/>
        <w:sz w:val="16"/>
        <w:szCs w:val="16"/>
      </w:rPr>
    </w:pPr>
    <w:r w:rsidRPr="007A77A5">
      <w:rPr>
        <w:i/>
        <w:sz w:val="16"/>
        <w:szCs w:val="16"/>
      </w:rPr>
      <w:t>- opis w</w:t>
    </w:r>
    <w:r>
      <w:rPr>
        <w:i/>
        <w:sz w:val="16"/>
        <w:szCs w:val="16"/>
      </w:rPr>
      <w:t>skaźników w ramach Działania 13.5</w:t>
    </w:r>
  </w:p>
  <w:p w:rsidR="00D20FBE" w:rsidRDefault="00ED0339" w:rsidP="00D20FBE">
    <w:pPr>
      <w:jc w:val="center"/>
      <w:rPr>
        <w:rFonts w:ascii="Arial" w:hAnsi="Arial" w:cs="Arial"/>
        <w:b/>
      </w:rPr>
    </w:pPr>
    <w:r w:rsidRPr="00ED0339">
      <w:rPr>
        <w:rFonts w:ascii="Arial" w:hAnsi="Arial" w:cs="Arial"/>
        <w:b/>
      </w:rPr>
      <w:t>Lista wskaźników rezultatu bezpośredniego oraz produktu</w:t>
    </w:r>
    <w:r>
      <w:rPr>
        <w:rFonts w:ascii="Arial" w:hAnsi="Arial" w:cs="Arial"/>
        <w:b/>
      </w:rPr>
      <w:t xml:space="preserve"> dla Działania</w:t>
    </w:r>
    <w:r w:rsidR="00D20FBE" w:rsidRPr="004A62DA">
      <w:rPr>
        <w:rFonts w:ascii="Arial" w:hAnsi="Arial" w:cs="Arial"/>
        <w:b/>
      </w:rPr>
      <w:t xml:space="preserve"> </w:t>
    </w:r>
    <w:r w:rsidR="00D20FBE">
      <w:rPr>
        <w:rFonts w:ascii="Arial" w:hAnsi="Arial" w:cs="Arial"/>
        <w:b/>
      </w:rPr>
      <w:t>13.5</w:t>
    </w:r>
  </w:p>
  <w:p w:rsidR="00D20FBE" w:rsidRDefault="00D20FB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92" w:rsidRDefault="00ED2C9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D0"/>
    <w:rsid w:val="00004CA4"/>
    <w:rsid w:val="000A2DB3"/>
    <w:rsid w:val="000A74E6"/>
    <w:rsid w:val="000C4D57"/>
    <w:rsid w:val="00121F95"/>
    <w:rsid w:val="00151081"/>
    <w:rsid w:val="001A72AF"/>
    <w:rsid w:val="003611D0"/>
    <w:rsid w:val="004148D6"/>
    <w:rsid w:val="004A62DA"/>
    <w:rsid w:val="004F3A8C"/>
    <w:rsid w:val="00503C99"/>
    <w:rsid w:val="00544A38"/>
    <w:rsid w:val="006224F3"/>
    <w:rsid w:val="006E6DA7"/>
    <w:rsid w:val="00721592"/>
    <w:rsid w:val="00732184"/>
    <w:rsid w:val="00743714"/>
    <w:rsid w:val="007C7753"/>
    <w:rsid w:val="007D2BEE"/>
    <w:rsid w:val="007F2F4D"/>
    <w:rsid w:val="009204E8"/>
    <w:rsid w:val="00957A93"/>
    <w:rsid w:val="0096278F"/>
    <w:rsid w:val="009B2D09"/>
    <w:rsid w:val="009D2774"/>
    <w:rsid w:val="00A33AE8"/>
    <w:rsid w:val="00A96772"/>
    <w:rsid w:val="00B43F74"/>
    <w:rsid w:val="00B67300"/>
    <w:rsid w:val="00B776B0"/>
    <w:rsid w:val="00B8298B"/>
    <w:rsid w:val="00BB31A1"/>
    <w:rsid w:val="00C4346D"/>
    <w:rsid w:val="00D04171"/>
    <w:rsid w:val="00D20FBE"/>
    <w:rsid w:val="00D24438"/>
    <w:rsid w:val="00DE7E6B"/>
    <w:rsid w:val="00E50F84"/>
    <w:rsid w:val="00E712D1"/>
    <w:rsid w:val="00ED0339"/>
    <w:rsid w:val="00ED2C92"/>
    <w:rsid w:val="00ED68C8"/>
    <w:rsid w:val="00ED6A07"/>
    <w:rsid w:val="00FA349A"/>
    <w:rsid w:val="00FB5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akcent4">
    <w:name w:val="Light Grid Accent 4"/>
    <w:basedOn w:val="Standardowy"/>
    <w:uiPriority w:val="62"/>
    <w:rsid w:val="004A62D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agwek">
    <w:name w:val="header"/>
    <w:basedOn w:val="Normalny"/>
    <w:link w:val="NagwekZnak"/>
    <w:uiPriority w:val="99"/>
    <w:unhideWhenUsed/>
    <w:rsid w:val="004A62DA"/>
    <w:pPr>
      <w:tabs>
        <w:tab w:val="center" w:pos="4536"/>
        <w:tab w:val="right" w:pos="9072"/>
      </w:tabs>
      <w:spacing w:line="240" w:lineRule="auto"/>
    </w:pPr>
  </w:style>
  <w:style w:type="character" w:customStyle="1" w:styleId="NagwekZnak">
    <w:name w:val="Nagłówek Znak"/>
    <w:basedOn w:val="Domylnaczcionkaakapitu"/>
    <w:link w:val="Nagwek"/>
    <w:uiPriority w:val="99"/>
    <w:rsid w:val="004A62DA"/>
  </w:style>
  <w:style w:type="paragraph" w:styleId="Stopka">
    <w:name w:val="footer"/>
    <w:basedOn w:val="Normalny"/>
    <w:link w:val="StopkaZnak"/>
    <w:uiPriority w:val="99"/>
    <w:unhideWhenUsed/>
    <w:rsid w:val="004A62DA"/>
    <w:pPr>
      <w:tabs>
        <w:tab w:val="center" w:pos="4536"/>
        <w:tab w:val="right" w:pos="9072"/>
      </w:tabs>
      <w:spacing w:line="240" w:lineRule="auto"/>
    </w:pPr>
  </w:style>
  <w:style w:type="character" w:customStyle="1" w:styleId="StopkaZnak">
    <w:name w:val="Stopka Znak"/>
    <w:basedOn w:val="Domylnaczcionkaakapitu"/>
    <w:link w:val="Stopka"/>
    <w:uiPriority w:val="99"/>
    <w:rsid w:val="004A62DA"/>
  </w:style>
  <w:style w:type="paragraph" w:styleId="Tekstdymka">
    <w:name w:val="Balloon Text"/>
    <w:basedOn w:val="Normalny"/>
    <w:link w:val="TekstdymkaZnak"/>
    <w:uiPriority w:val="99"/>
    <w:semiHidden/>
    <w:unhideWhenUsed/>
    <w:rsid w:val="006224F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24F3"/>
    <w:rPr>
      <w:rFonts w:ascii="Tahoma" w:hAnsi="Tahoma" w:cs="Tahoma"/>
      <w:sz w:val="16"/>
      <w:szCs w:val="16"/>
    </w:rPr>
  </w:style>
  <w:style w:type="character" w:styleId="Odwoaniedokomentarza">
    <w:name w:val="annotation reference"/>
    <w:basedOn w:val="Domylnaczcionkaakapitu"/>
    <w:uiPriority w:val="99"/>
    <w:semiHidden/>
    <w:unhideWhenUsed/>
    <w:rsid w:val="004148D6"/>
    <w:rPr>
      <w:sz w:val="16"/>
      <w:szCs w:val="16"/>
    </w:rPr>
  </w:style>
  <w:style w:type="paragraph" w:styleId="Tekstkomentarza">
    <w:name w:val="annotation text"/>
    <w:basedOn w:val="Normalny"/>
    <w:link w:val="TekstkomentarzaZnak"/>
    <w:uiPriority w:val="99"/>
    <w:semiHidden/>
    <w:unhideWhenUsed/>
    <w:rsid w:val="004148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48D6"/>
    <w:rPr>
      <w:sz w:val="20"/>
      <w:szCs w:val="20"/>
    </w:rPr>
  </w:style>
  <w:style w:type="paragraph" w:styleId="Tematkomentarza">
    <w:name w:val="annotation subject"/>
    <w:basedOn w:val="Tekstkomentarza"/>
    <w:next w:val="Tekstkomentarza"/>
    <w:link w:val="TematkomentarzaZnak"/>
    <w:uiPriority w:val="99"/>
    <w:semiHidden/>
    <w:unhideWhenUsed/>
    <w:rsid w:val="004148D6"/>
    <w:rPr>
      <w:b/>
      <w:bCs/>
    </w:rPr>
  </w:style>
  <w:style w:type="character" w:customStyle="1" w:styleId="TematkomentarzaZnak">
    <w:name w:val="Temat komentarza Znak"/>
    <w:basedOn w:val="TekstkomentarzaZnak"/>
    <w:link w:val="Tematkomentarza"/>
    <w:uiPriority w:val="99"/>
    <w:semiHidden/>
    <w:rsid w:val="004148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akcent4">
    <w:name w:val="Light Grid Accent 4"/>
    <w:basedOn w:val="Standardowy"/>
    <w:uiPriority w:val="62"/>
    <w:rsid w:val="004A62D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agwek">
    <w:name w:val="header"/>
    <w:basedOn w:val="Normalny"/>
    <w:link w:val="NagwekZnak"/>
    <w:uiPriority w:val="99"/>
    <w:unhideWhenUsed/>
    <w:rsid w:val="004A62DA"/>
    <w:pPr>
      <w:tabs>
        <w:tab w:val="center" w:pos="4536"/>
        <w:tab w:val="right" w:pos="9072"/>
      </w:tabs>
      <w:spacing w:line="240" w:lineRule="auto"/>
    </w:pPr>
  </w:style>
  <w:style w:type="character" w:customStyle="1" w:styleId="NagwekZnak">
    <w:name w:val="Nagłówek Znak"/>
    <w:basedOn w:val="Domylnaczcionkaakapitu"/>
    <w:link w:val="Nagwek"/>
    <w:uiPriority w:val="99"/>
    <w:rsid w:val="004A62DA"/>
  </w:style>
  <w:style w:type="paragraph" w:styleId="Stopka">
    <w:name w:val="footer"/>
    <w:basedOn w:val="Normalny"/>
    <w:link w:val="StopkaZnak"/>
    <w:uiPriority w:val="99"/>
    <w:unhideWhenUsed/>
    <w:rsid w:val="004A62DA"/>
    <w:pPr>
      <w:tabs>
        <w:tab w:val="center" w:pos="4536"/>
        <w:tab w:val="right" w:pos="9072"/>
      </w:tabs>
      <w:spacing w:line="240" w:lineRule="auto"/>
    </w:pPr>
  </w:style>
  <w:style w:type="character" w:customStyle="1" w:styleId="StopkaZnak">
    <w:name w:val="Stopka Znak"/>
    <w:basedOn w:val="Domylnaczcionkaakapitu"/>
    <w:link w:val="Stopka"/>
    <w:uiPriority w:val="99"/>
    <w:rsid w:val="004A62DA"/>
  </w:style>
  <w:style w:type="paragraph" w:styleId="Tekstdymka">
    <w:name w:val="Balloon Text"/>
    <w:basedOn w:val="Normalny"/>
    <w:link w:val="TekstdymkaZnak"/>
    <w:uiPriority w:val="99"/>
    <w:semiHidden/>
    <w:unhideWhenUsed/>
    <w:rsid w:val="006224F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24F3"/>
    <w:rPr>
      <w:rFonts w:ascii="Tahoma" w:hAnsi="Tahoma" w:cs="Tahoma"/>
      <w:sz w:val="16"/>
      <w:szCs w:val="16"/>
    </w:rPr>
  </w:style>
  <w:style w:type="character" w:styleId="Odwoaniedokomentarza">
    <w:name w:val="annotation reference"/>
    <w:basedOn w:val="Domylnaczcionkaakapitu"/>
    <w:uiPriority w:val="99"/>
    <w:semiHidden/>
    <w:unhideWhenUsed/>
    <w:rsid w:val="004148D6"/>
    <w:rPr>
      <w:sz w:val="16"/>
      <w:szCs w:val="16"/>
    </w:rPr>
  </w:style>
  <w:style w:type="paragraph" w:styleId="Tekstkomentarza">
    <w:name w:val="annotation text"/>
    <w:basedOn w:val="Normalny"/>
    <w:link w:val="TekstkomentarzaZnak"/>
    <w:uiPriority w:val="99"/>
    <w:semiHidden/>
    <w:unhideWhenUsed/>
    <w:rsid w:val="004148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48D6"/>
    <w:rPr>
      <w:sz w:val="20"/>
      <w:szCs w:val="20"/>
    </w:rPr>
  </w:style>
  <w:style w:type="paragraph" w:styleId="Tematkomentarza">
    <w:name w:val="annotation subject"/>
    <w:basedOn w:val="Tekstkomentarza"/>
    <w:next w:val="Tekstkomentarza"/>
    <w:link w:val="TematkomentarzaZnak"/>
    <w:uiPriority w:val="99"/>
    <w:semiHidden/>
    <w:unhideWhenUsed/>
    <w:rsid w:val="004148D6"/>
    <w:rPr>
      <w:b/>
      <w:bCs/>
    </w:rPr>
  </w:style>
  <w:style w:type="character" w:customStyle="1" w:styleId="TematkomentarzaZnak">
    <w:name w:val="Temat komentarza Znak"/>
    <w:basedOn w:val="TekstkomentarzaZnak"/>
    <w:link w:val="Tematkomentarza"/>
    <w:uiPriority w:val="99"/>
    <w:semiHidden/>
    <w:rsid w:val="00414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1046">
      <w:bodyDiv w:val="1"/>
      <w:marLeft w:val="0"/>
      <w:marRight w:val="0"/>
      <w:marTop w:val="0"/>
      <w:marBottom w:val="0"/>
      <w:divBdr>
        <w:top w:val="none" w:sz="0" w:space="0" w:color="auto"/>
        <w:left w:val="none" w:sz="0" w:space="0" w:color="auto"/>
        <w:bottom w:val="none" w:sz="0" w:space="0" w:color="auto"/>
        <w:right w:val="none" w:sz="0" w:space="0" w:color="auto"/>
      </w:divBdr>
    </w:div>
    <w:div w:id="693070321">
      <w:bodyDiv w:val="1"/>
      <w:marLeft w:val="0"/>
      <w:marRight w:val="0"/>
      <w:marTop w:val="0"/>
      <w:marBottom w:val="0"/>
      <w:divBdr>
        <w:top w:val="none" w:sz="0" w:space="0" w:color="auto"/>
        <w:left w:val="none" w:sz="0" w:space="0" w:color="auto"/>
        <w:bottom w:val="none" w:sz="0" w:space="0" w:color="auto"/>
        <w:right w:val="none" w:sz="0" w:space="0" w:color="auto"/>
      </w:divBdr>
    </w:div>
    <w:div w:id="1042556330">
      <w:bodyDiv w:val="1"/>
      <w:marLeft w:val="0"/>
      <w:marRight w:val="0"/>
      <w:marTop w:val="0"/>
      <w:marBottom w:val="0"/>
      <w:divBdr>
        <w:top w:val="none" w:sz="0" w:space="0" w:color="auto"/>
        <w:left w:val="none" w:sz="0" w:space="0" w:color="auto"/>
        <w:bottom w:val="none" w:sz="0" w:space="0" w:color="auto"/>
        <w:right w:val="none" w:sz="0" w:space="0" w:color="auto"/>
      </w:divBdr>
    </w:div>
    <w:div w:id="1168516746">
      <w:bodyDiv w:val="1"/>
      <w:marLeft w:val="0"/>
      <w:marRight w:val="0"/>
      <w:marTop w:val="0"/>
      <w:marBottom w:val="0"/>
      <w:divBdr>
        <w:top w:val="none" w:sz="0" w:space="0" w:color="auto"/>
        <w:left w:val="none" w:sz="0" w:space="0" w:color="auto"/>
        <w:bottom w:val="none" w:sz="0" w:space="0" w:color="auto"/>
        <w:right w:val="none" w:sz="0" w:space="0" w:color="auto"/>
      </w:divBdr>
    </w:div>
    <w:div w:id="1869641968">
      <w:bodyDiv w:val="1"/>
      <w:marLeft w:val="0"/>
      <w:marRight w:val="0"/>
      <w:marTop w:val="0"/>
      <w:marBottom w:val="0"/>
      <w:divBdr>
        <w:top w:val="none" w:sz="0" w:space="0" w:color="auto"/>
        <w:left w:val="none" w:sz="0" w:space="0" w:color="auto"/>
        <w:bottom w:val="none" w:sz="0" w:space="0" w:color="auto"/>
        <w:right w:val="none" w:sz="0" w:space="0" w:color="auto"/>
      </w:divBdr>
    </w:div>
    <w:div w:id="19972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E2F3-DF73-41DF-A1E7-8D2431A3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1526</Words>
  <Characters>9156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Piotr Dyrka</cp:lastModifiedBy>
  <cp:revision>4</cp:revision>
  <cp:lastPrinted>2015-08-20T08:38:00Z</cp:lastPrinted>
  <dcterms:created xsi:type="dcterms:W3CDTF">2015-09-18T07:11:00Z</dcterms:created>
  <dcterms:modified xsi:type="dcterms:W3CDTF">2015-09-21T15:49:00Z</dcterms:modified>
</cp:coreProperties>
</file>