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Jasnasiatkaakcent4"/>
        <w:tblpPr w:leftFromText="141" w:rightFromText="141" w:tblpXSpec="center" w:tblpY="426"/>
        <w:tblW w:w="14142" w:type="dxa"/>
        <w:tblLayout w:type="fixed"/>
        <w:tblLook w:val="04A0"/>
      </w:tblPr>
      <w:tblGrid>
        <w:gridCol w:w="3030"/>
        <w:gridCol w:w="1107"/>
        <w:gridCol w:w="1197"/>
        <w:gridCol w:w="1043"/>
        <w:gridCol w:w="964"/>
        <w:gridCol w:w="1287"/>
        <w:gridCol w:w="1261"/>
        <w:gridCol w:w="4253"/>
      </w:tblGrid>
      <w:tr w:rsidR="0034340F" w:rsidRPr="009754D9" w:rsidTr="003E536A">
        <w:trPr>
          <w:cnfStyle w:val="100000000000"/>
          <w:trHeight w:val="855"/>
        </w:trPr>
        <w:tc>
          <w:tcPr>
            <w:cnfStyle w:val="001000000000"/>
            <w:tcW w:w="3030" w:type="dxa"/>
            <w:vAlign w:val="center"/>
            <w:hideMark/>
          </w:tcPr>
          <w:p w:rsidR="0034340F" w:rsidRPr="003E536A" w:rsidRDefault="0034340F" w:rsidP="004A62DA">
            <w:pPr>
              <w:jc w:val="left"/>
              <w:rPr>
                <w:rFonts w:ascii="Arial" w:eastAsia="Times New Roman" w:hAnsi="Arial" w:cs="Arial"/>
                <w:sz w:val="18"/>
                <w:szCs w:val="18"/>
                <w:lang w:eastAsia="pl-PL"/>
              </w:rPr>
            </w:pPr>
            <w:r w:rsidRPr="003E536A">
              <w:rPr>
                <w:rFonts w:ascii="Arial" w:eastAsia="Times New Roman" w:hAnsi="Arial" w:cs="Arial"/>
                <w:sz w:val="18"/>
                <w:szCs w:val="18"/>
                <w:lang w:eastAsia="pl-PL"/>
              </w:rPr>
              <w:t>Nazwa wskaźnika</w:t>
            </w:r>
          </w:p>
        </w:tc>
        <w:tc>
          <w:tcPr>
            <w:tcW w:w="1107" w:type="dxa"/>
            <w:vAlign w:val="center"/>
            <w:hideMark/>
          </w:tcPr>
          <w:p w:rsidR="0034340F" w:rsidRPr="003E536A" w:rsidRDefault="0034340F" w:rsidP="004A62DA">
            <w:pPr>
              <w:jc w:val="left"/>
              <w:cnfStyle w:val="100000000000"/>
              <w:rPr>
                <w:rFonts w:ascii="Arial" w:eastAsia="Times New Roman" w:hAnsi="Arial" w:cs="Arial"/>
                <w:sz w:val="18"/>
                <w:szCs w:val="18"/>
                <w:lang w:eastAsia="pl-PL"/>
              </w:rPr>
            </w:pPr>
            <w:r w:rsidRPr="003E536A">
              <w:rPr>
                <w:rFonts w:ascii="Arial" w:eastAsia="Times New Roman" w:hAnsi="Arial" w:cs="Arial"/>
                <w:sz w:val="18"/>
                <w:szCs w:val="18"/>
                <w:lang w:eastAsia="pl-PL"/>
              </w:rPr>
              <w:t>Jednostka</w:t>
            </w:r>
          </w:p>
        </w:tc>
        <w:tc>
          <w:tcPr>
            <w:tcW w:w="1197" w:type="dxa"/>
            <w:vAlign w:val="center"/>
          </w:tcPr>
          <w:p w:rsidR="0034340F" w:rsidRPr="003E536A" w:rsidRDefault="0034340F" w:rsidP="004A62DA">
            <w:pPr>
              <w:jc w:val="left"/>
              <w:cnfStyle w:val="100000000000"/>
              <w:rPr>
                <w:rFonts w:ascii="Arial" w:eastAsia="Times New Roman" w:hAnsi="Arial" w:cs="Arial"/>
                <w:sz w:val="18"/>
                <w:szCs w:val="18"/>
                <w:lang w:eastAsia="pl-PL"/>
              </w:rPr>
            </w:pPr>
            <w:r w:rsidRPr="003E536A">
              <w:rPr>
                <w:rFonts w:ascii="Arial" w:eastAsia="Times New Roman" w:hAnsi="Arial" w:cs="Arial"/>
                <w:sz w:val="18"/>
                <w:szCs w:val="18"/>
                <w:lang w:eastAsia="pl-PL"/>
              </w:rPr>
              <w:t>Rodzaj</w:t>
            </w:r>
          </w:p>
        </w:tc>
        <w:tc>
          <w:tcPr>
            <w:tcW w:w="1043" w:type="dxa"/>
            <w:vAlign w:val="center"/>
          </w:tcPr>
          <w:p w:rsidR="0034340F" w:rsidRPr="003E536A" w:rsidRDefault="0034340F" w:rsidP="004A62DA">
            <w:pPr>
              <w:jc w:val="left"/>
              <w:cnfStyle w:val="100000000000"/>
              <w:rPr>
                <w:rFonts w:ascii="Arial" w:eastAsia="Times New Roman" w:hAnsi="Arial" w:cs="Arial"/>
                <w:sz w:val="18"/>
                <w:szCs w:val="18"/>
                <w:lang w:eastAsia="pl-PL"/>
              </w:rPr>
            </w:pPr>
            <w:r w:rsidRPr="003E536A">
              <w:rPr>
                <w:rFonts w:ascii="Arial" w:eastAsia="Times New Roman" w:hAnsi="Arial" w:cs="Arial"/>
                <w:sz w:val="18"/>
                <w:szCs w:val="18"/>
                <w:lang w:eastAsia="pl-PL"/>
              </w:rPr>
              <w:t>Typ</w:t>
            </w:r>
          </w:p>
        </w:tc>
        <w:tc>
          <w:tcPr>
            <w:tcW w:w="964" w:type="dxa"/>
            <w:vAlign w:val="center"/>
          </w:tcPr>
          <w:p w:rsidR="0034340F" w:rsidRPr="003E536A" w:rsidRDefault="0034340F" w:rsidP="004A62DA">
            <w:pPr>
              <w:jc w:val="left"/>
              <w:cnfStyle w:val="100000000000"/>
              <w:rPr>
                <w:rFonts w:ascii="Arial" w:eastAsia="Times New Roman" w:hAnsi="Arial" w:cs="Arial"/>
                <w:sz w:val="18"/>
                <w:szCs w:val="18"/>
                <w:lang w:eastAsia="pl-PL"/>
              </w:rPr>
            </w:pPr>
            <w:r w:rsidRPr="003E536A">
              <w:rPr>
                <w:rFonts w:ascii="Arial" w:eastAsia="Times New Roman" w:hAnsi="Arial" w:cs="Arial"/>
                <w:sz w:val="18"/>
                <w:szCs w:val="18"/>
                <w:lang w:eastAsia="pl-PL"/>
              </w:rPr>
              <w:t>Poziom pomiaru</w:t>
            </w:r>
          </w:p>
        </w:tc>
        <w:tc>
          <w:tcPr>
            <w:tcW w:w="1287" w:type="dxa"/>
            <w:vAlign w:val="center"/>
          </w:tcPr>
          <w:p w:rsidR="0034340F" w:rsidRPr="003E536A" w:rsidRDefault="0034340F" w:rsidP="004A62DA">
            <w:pPr>
              <w:jc w:val="left"/>
              <w:cnfStyle w:val="100000000000"/>
              <w:rPr>
                <w:rFonts w:ascii="Arial" w:eastAsia="Times New Roman" w:hAnsi="Arial" w:cs="Arial"/>
                <w:sz w:val="18"/>
                <w:szCs w:val="18"/>
                <w:lang w:eastAsia="pl-PL"/>
              </w:rPr>
            </w:pPr>
            <w:r w:rsidRPr="003E536A">
              <w:rPr>
                <w:rFonts w:ascii="Arial" w:eastAsia="Times New Roman" w:hAnsi="Arial" w:cs="Arial"/>
                <w:sz w:val="18"/>
                <w:szCs w:val="18"/>
                <w:lang w:eastAsia="pl-PL"/>
              </w:rPr>
              <w:t>Charakter</w:t>
            </w:r>
          </w:p>
        </w:tc>
        <w:tc>
          <w:tcPr>
            <w:tcW w:w="1261" w:type="dxa"/>
            <w:vAlign w:val="center"/>
          </w:tcPr>
          <w:p w:rsidR="0034340F" w:rsidRPr="003E536A" w:rsidRDefault="0034340F" w:rsidP="004A62DA">
            <w:pPr>
              <w:jc w:val="left"/>
              <w:cnfStyle w:val="100000000000"/>
              <w:rPr>
                <w:rFonts w:ascii="Arial" w:eastAsia="Times New Roman" w:hAnsi="Arial" w:cs="Arial"/>
                <w:sz w:val="18"/>
                <w:szCs w:val="18"/>
                <w:lang w:eastAsia="pl-PL"/>
              </w:rPr>
            </w:pPr>
            <w:r w:rsidRPr="003E536A">
              <w:rPr>
                <w:rFonts w:ascii="Arial" w:eastAsia="Times New Roman" w:hAnsi="Arial" w:cs="Arial"/>
                <w:sz w:val="18"/>
                <w:szCs w:val="18"/>
                <w:lang w:eastAsia="pl-PL"/>
              </w:rPr>
              <w:t>Wskaźnik Ramy Wykonania</w:t>
            </w:r>
          </w:p>
        </w:tc>
        <w:tc>
          <w:tcPr>
            <w:tcW w:w="4253" w:type="dxa"/>
            <w:vAlign w:val="center"/>
          </w:tcPr>
          <w:p w:rsidR="0034340F" w:rsidRPr="003E536A" w:rsidRDefault="003E536A" w:rsidP="003E536A">
            <w:pPr>
              <w:jc w:val="center"/>
              <w:cnfStyle w:val="100000000000"/>
              <w:rPr>
                <w:rFonts w:ascii="Arial" w:eastAsia="Times New Roman" w:hAnsi="Arial" w:cs="Arial"/>
                <w:sz w:val="18"/>
                <w:szCs w:val="18"/>
                <w:lang w:eastAsia="pl-PL"/>
              </w:rPr>
            </w:pPr>
            <w:r w:rsidRPr="003E536A">
              <w:rPr>
                <w:rFonts w:ascii="Arial" w:eastAsia="Times New Roman" w:hAnsi="Arial" w:cs="Arial"/>
                <w:sz w:val="18"/>
                <w:szCs w:val="18"/>
                <w:lang w:eastAsia="pl-PL"/>
              </w:rPr>
              <w:t>Definicja wskaźnika</w:t>
            </w:r>
          </w:p>
        </w:tc>
      </w:tr>
      <w:tr w:rsidR="008C778E" w:rsidRPr="009754D9" w:rsidTr="00B51B4D">
        <w:trPr>
          <w:cnfStyle w:val="000000100000"/>
          <w:trHeight w:val="570"/>
        </w:trPr>
        <w:tc>
          <w:tcPr>
            <w:cnfStyle w:val="001000000000"/>
            <w:tcW w:w="3030" w:type="dxa"/>
            <w:vAlign w:val="center"/>
            <w:hideMark/>
          </w:tcPr>
          <w:p w:rsidR="008C778E" w:rsidRPr="009754D9" w:rsidRDefault="00A50357" w:rsidP="008C778E">
            <w:pPr>
              <w:jc w:val="left"/>
              <w:rPr>
                <w:rFonts w:ascii="Arial" w:eastAsia="Times New Roman" w:hAnsi="Arial" w:cs="Arial"/>
                <w:sz w:val="18"/>
                <w:szCs w:val="18"/>
                <w:lang w:eastAsia="pl-PL"/>
              </w:rPr>
            </w:pPr>
            <w:r w:rsidRPr="00A50357">
              <w:rPr>
                <w:rFonts w:ascii="Arial" w:eastAsia="Times New Roman" w:hAnsi="Arial" w:cs="Arial"/>
                <w:sz w:val="18"/>
                <w:szCs w:val="18"/>
                <w:lang w:eastAsia="pl-PL"/>
              </w:rPr>
              <w:t>Wzrost oczekiwanej liczby odwiedzin w objętych wsparciem miejscach należących do dziedzictwa kulturalnego i naturalnego oraz stanowiących atrakcje turystyczne</w:t>
            </w:r>
          </w:p>
        </w:tc>
        <w:tc>
          <w:tcPr>
            <w:tcW w:w="1107" w:type="dxa"/>
            <w:vAlign w:val="center"/>
            <w:hideMark/>
          </w:tcPr>
          <w:p w:rsidR="008C778E" w:rsidRPr="009754D9" w:rsidRDefault="00A50357" w:rsidP="008C778E">
            <w:pPr>
              <w:jc w:val="left"/>
              <w:cnfStyle w:val="000000100000"/>
              <w:rPr>
                <w:rFonts w:ascii="Arial" w:eastAsia="Times New Roman" w:hAnsi="Arial" w:cs="Arial"/>
                <w:sz w:val="18"/>
                <w:szCs w:val="18"/>
                <w:lang w:eastAsia="pl-PL"/>
              </w:rPr>
            </w:pPr>
            <w:r>
              <w:rPr>
                <w:rFonts w:ascii="Arial" w:eastAsia="Times New Roman" w:hAnsi="Arial" w:cs="Arial"/>
                <w:sz w:val="18"/>
                <w:szCs w:val="18"/>
                <w:lang w:eastAsia="pl-PL"/>
              </w:rPr>
              <w:t>odwiedziny/rok</w:t>
            </w:r>
          </w:p>
        </w:tc>
        <w:tc>
          <w:tcPr>
            <w:tcW w:w="1197" w:type="dxa"/>
            <w:vAlign w:val="center"/>
          </w:tcPr>
          <w:p w:rsidR="008C778E" w:rsidRPr="009754D9" w:rsidRDefault="008C778E" w:rsidP="008C778E">
            <w:pPr>
              <w:jc w:val="left"/>
              <w:cnfStyle w:val="000000100000"/>
              <w:rPr>
                <w:rFonts w:ascii="Arial" w:eastAsia="Times New Roman" w:hAnsi="Arial" w:cs="Arial"/>
                <w:sz w:val="18"/>
                <w:szCs w:val="18"/>
                <w:lang w:eastAsia="pl-PL"/>
              </w:rPr>
            </w:pPr>
            <w:r w:rsidRPr="009754D9">
              <w:rPr>
                <w:rFonts w:ascii="Arial" w:eastAsia="Times New Roman" w:hAnsi="Arial" w:cs="Arial"/>
                <w:sz w:val="18"/>
                <w:szCs w:val="18"/>
                <w:lang w:eastAsia="pl-PL"/>
              </w:rPr>
              <w:t>rezultat bezpośredni</w:t>
            </w:r>
          </w:p>
        </w:tc>
        <w:tc>
          <w:tcPr>
            <w:tcW w:w="1043" w:type="dxa"/>
            <w:vAlign w:val="center"/>
          </w:tcPr>
          <w:p w:rsidR="008C778E" w:rsidRPr="009754D9" w:rsidRDefault="008C778E" w:rsidP="008C778E">
            <w:pPr>
              <w:jc w:val="left"/>
              <w:cnfStyle w:val="000000100000"/>
              <w:rPr>
                <w:rFonts w:ascii="Arial" w:eastAsia="Times New Roman" w:hAnsi="Arial" w:cs="Arial"/>
                <w:sz w:val="18"/>
                <w:szCs w:val="18"/>
                <w:lang w:eastAsia="pl-PL"/>
              </w:rPr>
            </w:pPr>
            <w:r w:rsidRPr="009754D9">
              <w:rPr>
                <w:rFonts w:ascii="Arial" w:eastAsia="Times New Roman" w:hAnsi="Arial" w:cs="Arial"/>
                <w:sz w:val="18"/>
                <w:szCs w:val="18"/>
                <w:lang w:eastAsia="pl-PL"/>
              </w:rPr>
              <w:t>kluczowy - krajowy</w:t>
            </w:r>
          </w:p>
        </w:tc>
        <w:tc>
          <w:tcPr>
            <w:tcW w:w="964" w:type="dxa"/>
            <w:vAlign w:val="center"/>
          </w:tcPr>
          <w:p w:rsidR="008C778E" w:rsidRPr="009754D9" w:rsidRDefault="008C778E" w:rsidP="008C778E">
            <w:pPr>
              <w:jc w:val="left"/>
              <w:cnfStyle w:val="000000100000"/>
              <w:rPr>
                <w:rFonts w:ascii="Arial" w:eastAsia="Times New Roman" w:hAnsi="Arial" w:cs="Arial"/>
                <w:sz w:val="18"/>
                <w:szCs w:val="18"/>
                <w:lang w:eastAsia="pl-PL"/>
              </w:rPr>
            </w:pPr>
            <w:r w:rsidRPr="009754D9">
              <w:rPr>
                <w:rFonts w:ascii="Arial" w:eastAsia="Times New Roman" w:hAnsi="Arial" w:cs="Arial"/>
                <w:sz w:val="18"/>
                <w:szCs w:val="18"/>
                <w:lang w:eastAsia="pl-PL"/>
              </w:rPr>
              <w:t>program,</w:t>
            </w:r>
          </w:p>
          <w:p w:rsidR="008C778E" w:rsidRPr="009754D9" w:rsidRDefault="008C778E" w:rsidP="008C778E">
            <w:pPr>
              <w:jc w:val="left"/>
              <w:cnfStyle w:val="000000100000"/>
              <w:rPr>
                <w:rFonts w:ascii="Arial" w:eastAsia="Times New Roman" w:hAnsi="Arial" w:cs="Arial"/>
                <w:sz w:val="18"/>
                <w:szCs w:val="18"/>
                <w:lang w:eastAsia="pl-PL"/>
              </w:rPr>
            </w:pPr>
            <w:r w:rsidRPr="009754D9">
              <w:rPr>
                <w:rFonts w:ascii="Arial" w:eastAsia="Times New Roman" w:hAnsi="Arial" w:cs="Arial"/>
                <w:sz w:val="18"/>
                <w:szCs w:val="18"/>
                <w:lang w:eastAsia="pl-PL"/>
              </w:rPr>
              <w:t>projekt</w:t>
            </w:r>
          </w:p>
        </w:tc>
        <w:tc>
          <w:tcPr>
            <w:tcW w:w="1287" w:type="dxa"/>
            <w:vAlign w:val="center"/>
          </w:tcPr>
          <w:p w:rsidR="008C778E" w:rsidRPr="009754D9" w:rsidRDefault="008C778E" w:rsidP="008C778E">
            <w:pPr>
              <w:jc w:val="left"/>
              <w:cnfStyle w:val="000000100000"/>
              <w:rPr>
                <w:rFonts w:ascii="Arial" w:eastAsia="Times New Roman" w:hAnsi="Arial" w:cs="Arial"/>
                <w:sz w:val="18"/>
                <w:szCs w:val="18"/>
                <w:lang w:eastAsia="pl-PL"/>
              </w:rPr>
            </w:pPr>
            <w:r w:rsidRPr="009754D9">
              <w:rPr>
                <w:rFonts w:ascii="Arial" w:eastAsia="Times New Roman" w:hAnsi="Arial" w:cs="Arial"/>
                <w:sz w:val="18"/>
                <w:szCs w:val="18"/>
                <w:lang w:eastAsia="pl-PL"/>
              </w:rPr>
              <w:t>rozliczeniowy</w:t>
            </w:r>
          </w:p>
        </w:tc>
        <w:tc>
          <w:tcPr>
            <w:tcW w:w="1261" w:type="dxa"/>
            <w:vAlign w:val="center"/>
          </w:tcPr>
          <w:p w:rsidR="008C778E" w:rsidRPr="009754D9" w:rsidRDefault="008C778E" w:rsidP="008C778E">
            <w:pPr>
              <w:jc w:val="left"/>
              <w:cnfStyle w:val="000000100000"/>
              <w:rPr>
                <w:rFonts w:ascii="Arial" w:eastAsia="Times New Roman" w:hAnsi="Arial" w:cs="Arial"/>
                <w:sz w:val="18"/>
                <w:szCs w:val="18"/>
                <w:lang w:eastAsia="pl-PL"/>
              </w:rPr>
            </w:pPr>
          </w:p>
        </w:tc>
        <w:tc>
          <w:tcPr>
            <w:tcW w:w="4253" w:type="dxa"/>
          </w:tcPr>
          <w:p w:rsidR="00427D47" w:rsidRPr="00427D47" w:rsidRDefault="00427D47" w:rsidP="00400464">
            <w:pPr>
              <w:pStyle w:val="Tabelatekst"/>
              <w:shd w:val="clear" w:color="auto" w:fill="B2A1C7" w:themeFill="accent4" w:themeFillTint="99"/>
              <w:cnfStyle w:val="000000100000"/>
              <w:rPr>
                <w:b/>
                <w:i/>
                <w:color w:val="auto"/>
              </w:rPr>
            </w:pPr>
            <w:r w:rsidRPr="00427D47">
              <w:rPr>
                <w:b/>
                <w:i/>
                <w:color w:val="auto"/>
              </w:rPr>
              <w:t>Definicja:</w:t>
            </w:r>
          </w:p>
          <w:p w:rsidR="00427D47" w:rsidRPr="00427D47" w:rsidRDefault="00427D47" w:rsidP="00427D47">
            <w:pPr>
              <w:pStyle w:val="Tabelatekst"/>
              <w:cnfStyle w:val="000000100000"/>
              <w:rPr>
                <w:color w:val="auto"/>
              </w:rPr>
            </w:pPr>
            <w:r w:rsidRPr="00427D47">
              <w:rPr>
                <w:color w:val="auto"/>
              </w:rPr>
              <w:t xml:space="preserve">Wskaźnik określa szacowany przed realizacją projektu wzrost liczby odwiedzin miejsc lub obiektów wspartych w projekcie w pełnym roku następującym po roku zakończenia projektu. </w:t>
            </w:r>
          </w:p>
          <w:p w:rsidR="00427D47" w:rsidRPr="00427D47" w:rsidRDefault="00427D47" w:rsidP="00427D47">
            <w:pPr>
              <w:pStyle w:val="Tabelatekst"/>
              <w:cnfStyle w:val="000000100000"/>
              <w:rPr>
                <w:color w:val="auto"/>
              </w:rPr>
            </w:pPr>
            <w:r w:rsidRPr="00427D47">
              <w:rPr>
                <w:color w:val="auto"/>
              </w:rPr>
              <w:t>Wskaźnik dotyczy projektów poprawiających dostępność do miejsc należących do dziedzictwa kulturalnego i naturalnego oraz stanowiących atrakcje turystyczne, dzięki czemu możliwe będzie przyciągnięcie i przyjęcie odwiedzających zgodnie z zasadami zrównoważonej turystyki.</w:t>
            </w:r>
          </w:p>
          <w:p w:rsidR="008C778E" w:rsidRPr="00427D47" w:rsidRDefault="00427D47" w:rsidP="00427D47">
            <w:pPr>
              <w:pStyle w:val="Tabelatekst"/>
              <w:cnfStyle w:val="000000100000"/>
              <w:rPr>
                <w:color w:val="auto"/>
              </w:rPr>
            </w:pPr>
            <w:r w:rsidRPr="00427D47">
              <w:rPr>
                <w:color w:val="auto"/>
              </w:rPr>
              <w:t>Wskaźnik dotyczy zarówno miejsc, w których do tej pory była prowadzona działalność turystyczna, jak i miejsc bez takiej działalności (np. parki narodowe lub budynki zamienione na muzea).</w:t>
            </w:r>
          </w:p>
          <w:p w:rsidR="00427D47" w:rsidRPr="00427D47" w:rsidRDefault="00427D47" w:rsidP="00400464">
            <w:pPr>
              <w:pStyle w:val="Tabelatekst"/>
              <w:shd w:val="clear" w:color="auto" w:fill="B2A1C7" w:themeFill="accent4" w:themeFillTint="99"/>
              <w:cnfStyle w:val="000000100000"/>
              <w:rPr>
                <w:b/>
                <w:color w:val="auto"/>
              </w:rPr>
            </w:pPr>
            <w:r w:rsidRPr="00427D47">
              <w:rPr>
                <w:b/>
                <w:i/>
                <w:color w:val="auto"/>
              </w:rPr>
              <w:t>Sposób pomiaru:</w:t>
            </w:r>
            <w:r w:rsidRPr="00427D47">
              <w:rPr>
                <w:b/>
                <w:color w:val="auto"/>
              </w:rPr>
              <w:t xml:space="preserve"> </w:t>
            </w:r>
          </w:p>
          <w:p w:rsidR="00427D47" w:rsidRPr="00427D47" w:rsidRDefault="00427D47" w:rsidP="00427D47">
            <w:pPr>
              <w:pStyle w:val="Tabelatekst"/>
              <w:cnfStyle w:val="000000100000"/>
              <w:rPr>
                <w:color w:val="auto"/>
              </w:rPr>
            </w:pPr>
            <w:r w:rsidRPr="00427D47">
              <w:rPr>
                <w:color w:val="auto"/>
              </w:rPr>
              <w:t xml:space="preserve">Należy wyliczyć wartość bazową i docelową wskaźnika. </w:t>
            </w:r>
            <w:r w:rsidRPr="00427D47">
              <w:rPr>
                <w:i/>
                <w:color w:val="auto"/>
              </w:rPr>
              <w:t>Wartość bazowa:</w:t>
            </w:r>
            <w:r w:rsidRPr="00427D47">
              <w:rPr>
                <w:color w:val="auto"/>
              </w:rPr>
              <w:t xml:space="preserve"> w każdym przypadku należy wpisać zero. </w:t>
            </w:r>
            <w:r w:rsidRPr="00427D47">
              <w:rPr>
                <w:i/>
                <w:color w:val="auto"/>
              </w:rPr>
              <w:t>Wartość docelowa:</w:t>
            </w:r>
            <w:r w:rsidRPr="00427D47">
              <w:rPr>
                <w:color w:val="auto"/>
              </w:rPr>
              <w:t xml:space="preserve"> należy zliczyć szacowany wzrost liczby odwiedzin (nie faktyczną zmianę) spowodowanych realizacją projektu. Zatem od przewidywanej liczby odwiedzających miejsca objęte wsparciem po realizacji projektu należy odjąć liczbę odwiedzin w ostatnim pełnym roku kalendarzowym przed rozpoczęciem realizacji projektu. Wzrost liczby odwiedzin należy oprzeć na wiarygodnej metodyce i założeniach.</w:t>
            </w:r>
          </w:p>
          <w:p w:rsidR="00427D47" w:rsidRPr="00427D47" w:rsidRDefault="00427D47" w:rsidP="00427D47">
            <w:pPr>
              <w:pStyle w:val="Tabelatekst"/>
              <w:cnfStyle w:val="000000100000"/>
              <w:rPr>
                <w:b/>
                <w:color w:val="auto"/>
              </w:rPr>
            </w:pPr>
            <w:r w:rsidRPr="00427D47">
              <w:rPr>
                <w:b/>
                <w:i/>
                <w:color w:val="auto"/>
              </w:rPr>
              <w:t>Szczególne przypadki podczas pomiaru:</w:t>
            </w:r>
            <w:r w:rsidRPr="00427D47">
              <w:rPr>
                <w:b/>
                <w:color w:val="auto"/>
              </w:rPr>
              <w:t xml:space="preserve"> </w:t>
            </w:r>
          </w:p>
          <w:p w:rsidR="00427D47" w:rsidRPr="00427D47" w:rsidRDefault="00427D47" w:rsidP="00427D47">
            <w:pPr>
              <w:pStyle w:val="Tabelatekst"/>
              <w:numPr>
                <w:ilvl w:val="0"/>
                <w:numId w:val="1"/>
              </w:numPr>
              <w:ind w:left="198" w:hanging="141"/>
              <w:cnfStyle w:val="000000100000"/>
              <w:rPr>
                <w:color w:val="auto"/>
              </w:rPr>
            </w:pPr>
            <w:r w:rsidRPr="00427D47">
              <w:rPr>
                <w:color w:val="auto"/>
              </w:rPr>
              <w:t xml:space="preserve">jeżeli projekt dotyczy kilku miejsc / obiektów – wizytę jednego odwiedzającego w różnych miejscach / obiektach należy liczyć jednokrotnie, </w:t>
            </w:r>
          </w:p>
          <w:p w:rsidR="00427D47" w:rsidRPr="00427D47" w:rsidRDefault="00427D47" w:rsidP="00427D47">
            <w:pPr>
              <w:pStyle w:val="Tabelatekst"/>
              <w:numPr>
                <w:ilvl w:val="0"/>
                <w:numId w:val="1"/>
              </w:numPr>
              <w:ind w:left="198" w:hanging="141"/>
              <w:cnfStyle w:val="000000100000"/>
              <w:rPr>
                <w:color w:val="auto"/>
              </w:rPr>
            </w:pPr>
            <w:r w:rsidRPr="00427D47">
              <w:rPr>
                <w:color w:val="auto"/>
              </w:rPr>
              <w:t>jeżeli odwiedzający przyjeżdża kilka razy, może być wliczony kilkakrotnie do wskaźnika,</w:t>
            </w:r>
          </w:p>
          <w:p w:rsidR="00427D47" w:rsidRPr="00427D47" w:rsidRDefault="00427D47" w:rsidP="00427D47">
            <w:pPr>
              <w:pStyle w:val="Tabelatekst"/>
              <w:numPr>
                <w:ilvl w:val="0"/>
                <w:numId w:val="1"/>
              </w:numPr>
              <w:ind w:left="198" w:hanging="141"/>
              <w:cnfStyle w:val="000000100000"/>
              <w:rPr>
                <w:color w:val="auto"/>
              </w:rPr>
            </w:pPr>
            <w:r w:rsidRPr="00427D47">
              <w:rPr>
                <w:color w:val="auto"/>
              </w:rPr>
              <w:t>w przypadku grup odwiedzających – każdego członka grupy należy wliczyć do wskaźnika.</w:t>
            </w:r>
          </w:p>
          <w:p w:rsidR="00427D47" w:rsidRPr="00427D47" w:rsidRDefault="00427D47" w:rsidP="00427D47">
            <w:pPr>
              <w:pStyle w:val="Tabelatekst"/>
              <w:cnfStyle w:val="000000100000"/>
              <w:rPr>
                <w:b/>
                <w:color w:val="auto"/>
              </w:rPr>
            </w:pPr>
            <w:r w:rsidRPr="00427D47">
              <w:rPr>
                <w:b/>
                <w:i/>
                <w:color w:val="auto"/>
              </w:rPr>
              <w:t>Miejsce pomiaru:</w:t>
            </w:r>
            <w:r w:rsidRPr="00427D47">
              <w:rPr>
                <w:b/>
                <w:color w:val="auto"/>
              </w:rPr>
              <w:t xml:space="preserve"> </w:t>
            </w:r>
          </w:p>
          <w:p w:rsidR="00427D47" w:rsidRPr="00427D47" w:rsidRDefault="00427D47" w:rsidP="00427D47">
            <w:pPr>
              <w:pStyle w:val="Tabelatekst"/>
              <w:cnfStyle w:val="000000100000"/>
              <w:rPr>
                <w:color w:val="auto"/>
              </w:rPr>
            </w:pPr>
            <w:r w:rsidRPr="00427D47">
              <w:rPr>
                <w:color w:val="auto"/>
              </w:rPr>
              <w:t xml:space="preserve">Miejsca lub obiekty objęte projektem, najbezpieczniej jest przeprowadzić pomiar w jednym (najbardziej uczęszczanym) miejscu / obiekcie, aby nie wliczyć do </w:t>
            </w:r>
            <w:r w:rsidRPr="00427D47">
              <w:rPr>
                <w:color w:val="auto"/>
              </w:rPr>
              <w:lastRenderedPageBreak/>
              <w:t>wskaźnika kilkakrotnie tych samych osób</w:t>
            </w:r>
          </w:p>
          <w:p w:rsidR="00427D47" w:rsidRPr="00427D47" w:rsidRDefault="00427D47" w:rsidP="00427D47">
            <w:pPr>
              <w:pStyle w:val="Tabelatekst"/>
              <w:cnfStyle w:val="000000100000"/>
              <w:rPr>
                <w:b/>
                <w:color w:val="auto"/>
              </w:rPr>
            </w:pPr>
            <w:r w:rsidRPr="00427D47">
              <w:rPr>
                <w:b/>
                <w:i/>
                <w:color w:val="auto"/>
              </w:rPr>
              <w:t>Moment pomiaru:</w:t>
            </w:r>
            <w:r w:rsidRPr="00427D47">
              <w:rPr>
                <w:b/>
                <w:color w:val="auto"/>
              </w:rPr>
              <w:t xml:space="preserve"> </w:t>
            </w:r>
          </w:p>
          <w:p w:rsidR="00427D47" w:rsidRPr="00427D47" w:rsidRDefault="00427D47" w:rsidP="00427D47">
            <w:pPr>
              <w:pStyle w:val="Tabelatekst"/>
              <w:cnfStyle w:val="000000100000"/>
              <w:rPr>
                <w:color w:val="auto"/>
              </w:rPr>
            </w:pPr>
            <w:r w:rsidRPr="00427D47">
              <w:rPr>
                <w:color w:val="auto"/>
              </w:rPr>
              <w:t>Wyłącznie przed realizacją projektu, na podstawie danych historycznych i szacunków</w:t>
            </w:r>
          </w:p>
          <w:p w:rsidR="00427D47" w:rsidRPr="00427D47" w:rsidRDefault="00427D47" w:rsidP="00427D47">
            <w:pPr>
              <w:pStyle w:val="Tabelatekst"/>
              <w:cnfStyle w:val="000000100000"/>
              <w:rPr>
                <w:b/>
                <w:color w:val="auto"/>
              </w:rPr>
            </w:pPr>
            <w:r w:rsidRPr="00427D47">
              <w:rPr>
                <w:b/>
                <w:i/>
                <w:color w:val="auto"/>
              </w:rPr>
              <w:t>Czas pomiaru:</w:t>
            </w:r>
            <w:r w:rsidRPr="00427D47">
              <w:rPr>
                <w:b/>
                <w:color w:val="auto"/>
              </w:rPr>
              <w:t xml:space="preserve"> </w:t>
            </w:r>
          </w:p>
          <w:p w:rsidR="00427D47" w:rsidRDefault="00427D47" w:rsidP="00427D47">
            <w:pPr>
              <w:pStyle w:val="Tabelatekst"/>
              <w:cnfStyle w:val="000000100000"/>
              <w:rPr>
                <w:color w:val="auto"/>
              </w:rPr>
            </w:pPr>
            <w:r w:rsidRPr="00427D47">
              <w:rPr>
                <w:color w:val="auto"/>
              </w:rPr>
              <w:t>Pełny rok kalendarzowy przed realizacją projektu; szacunki dotyczące docelowej liczby odwiedzających muszą dotyczyć okresu 12 miesięcy od zakończenia okresu realizacji projektu określonego w umowie/decyzji o dofinansowaniu projektu lub, o ile wynika to ze specyfiki projektu, od uruchomienia przedsięwzięcia.</w:t>
            </w:r>
          </w:p>
          <w:p w:rsidR="00427D47" w:rsidRPr="00427D47" w:rsidRDefault="00427D47" w:rsidP="00400464">
            <w:pPr>
              <w:pStyle w:val="Tabelatekst"/>
              <w:shd w:val="clear" w:color="auto" w:fill="B2A1C7" w:themeFill="accent4" w:themeFillTint="99"/>
              <w:cnfStyle w:val="000000100000"/>
              <w:rPr>
                <w:rFonts w:eastAsia="Times New Roman" w:cs="Arial"/>
                <w:b/>
                <w:i/>
                <w:color w:val="auto"/>
                <w:lang w:eastAsia="pl-PL"/>
              </w:rPr>
            </w:pPr>
            <w:r w:rsidRPr="00427D47">
              <w:rPr>
                <w:rFonts w:eastAsia="Times New Roman" w:cs="Arial"/>
                <w:b/>
                <w:i/>
                <w:color w:val="auto"/>
                <w:lang w:eastAsia="pl-PL"/>
              </w:rPr>
              <w:t>Źródło:</w:t>
            </w:r>
          </w:p>
          <w:p w:rsidR="00427D47" w:rsidRPr="00427D47" w:rsidRDefault="00427D47" w:rsidP="00427D47">
            <w:pPr>
              <w:pStyle w:val="Tabelatekst"/>
              <w:cnfStyle w:val="000000100000"/>
              <w:rPr>
                <w:rFonts w:eastAsia="Times New Roman" w:cs="Arial"/>
                <w:color w:val="auto"/>
                <w:sz w:val="18"/>
                <w:szCs w:val="18"/>
                <w:lang w:eastAsia="pl-PL"/>
              </w:rPr>
            </w:pPr>
            <w:r w:rsidRPr="00427D47">
              <w:rPr>
                <w:color w:val="auto"/>
              </w:rPr>
              <w:t>Źródłem danych do wskaźnika może być analiza popytu na usługi, badania terenowe lub szacunki oparte na doświadczeniach podobnych miejsc lub obiektów, które realizowały podobne projekty. Źródłem informacji o dotychczasowej liczbie odwiedzin (stanowiącej wartość bazową do wyliczenia wzrostu) powinny być informacje z działu sprzedaży (liczba sprzedanych biletów w ciągu pełnego roku kalendarzowego poprzedzającego realizację projektu) lub badania potoku odwiedzających w miejscach otwartych z tego okresu.</w:t>
            </w:r>
          </w:p>
        </w:tc>
      </w:tr>
      <w:tr w:rsidR="0034340F" w:rsidRPr="009754D9" w:rsidTr="003E536A">
        <w:trPr>
          <w:cnfStyle w:val="000000010000"/>
          <w:trHeight w:val="855"/>
        </w:trPr>
        <w:tc>
          <w:tcPr>
            <w:cnfStyle w:val="001000000000"/>
            <w:tcW w:w="3030" w:type="dxa"/>
            <w:vAlign w:val="center"/>
            <w:hideMark/>
          </w:tcPr>
          <w:p w:rsidR="0034340F" w:rsidRPr="009754D9" w:rsidRDefault="00A50357" w:rsidP="004A62DA">
            <w:pPr>
              <w:jc w:val="left"/>
              <w:rPr>
                <w:rFonts w:ascii="Arial" w:eastAsia="Times New Roman" w:hAnsi="Arial" w:cs="Arial"/>
                <w:sz w:val="18"/>
                <w:szCs w:val="18"/>
                <w:lang w:eastAsia="pl-PL"/>
              </w:rPr>
            </w:pPr>
            <w:r w:rsidRPr="00A50357">
              <w:rPr>
                <w:rFonts w:ascii="Arial" w:eastAsia="Times New Roman" w:hAnsi="Arial" w:cs="Arial"/>
                <w:sz w:val="18"/>
                <w:szCs w:val="18"/>
                <w:lang w:eastAsia="pl-PL"/>
              </w:rPr>
              <w:lastRenderedPageBreak/>
              <w:t>Liczba osób korzystających z obiektów zasobów kultury objętych wsparciem</w:t>
            </w:r>
          </w:p>
        </w:tc>
        <w:tc>
          <w:tcPr>
            <w:tcW w:w="1107" w:type="dxa"/>
            <w:vAlign w:val="center"/>
            <w:hideMark/>
          </w:tcPr>
          <w:p w:rsidR="0034340F" w:rsidRPr="009754D9" w:rsidRDefault="00A50357" w:rsidP="004A62DA">
            <w:pPr>
              <w:jc w:val="left"/>
              <w:cnfStyle w:val="000000010000"/>
              <w:rPr>
                <w:rFonts w:ascii="Arial" w:eastAsia="Times New Roman" w:hAnsi="Arial" w:cs="Arial"/>
                <w:sz w:val="18"/>
                <w:szCs w:val="18"/>
                <w:lang w:eastAsia="pl-PL"/>
              </w:rPr>
            </w:pPr>
            <w:r>
              <w:rPr>
                <w:rFonts w:ascii="Arial" w:eastAsia="Times New Roman" w:hAnsi="Arial" w:cs="Arial"/>
                <w:sz w:val="18"/>
                <w:szCs w:val="18"/>
                <w:lang w:eastAsia="pl-PL"/>
              </w:rPr>
              <w:t>osoby/rok</w:t>
            </w:r>
          </w:p>
        </w:tc>
        <w:tc>
          <w:tcPr>
            <w:tcW w:w="1197" w:type="dxa"/>
            <w:vAlign w:val="center"/>
          </w:tcPr>
          <w:p w:rsidR="0034340F" w:rsidRPr="009754D9" w:rsidRDefault="0034340F" w:rsidP="004A62DA">
            <w:pPr>
              <w:jc w:val="left"/>
              <w:cnfStyle w:val="000000010000"/>
              <w:rPr>
                <w:rFonts w:ascii="Arial" w:eastAsia="Times New Roman" w:hAnsi="Arial" w:cs="Arial"/>
                <w:sz w:val="18"/>
                <w:szCs w:val="18"/>
                <w:lang w:eastAsia="pl-PL"/>
              </w:rPr>
            </w:pPr>
            <w:r w:rsidRPr="009754D9">
              <w:rPr>
                <w:rFonts w:ascii="Arial" w:eastAsia="Times New Roman" w:hAnsi="Arial" w:cs="Arial"/>
                <w:sz w:val="18"/>
                <w:szCs w:val="18"/>
                <w:lang w:eastAsia="pl-PL"/>
              </w:rPr>
              <w:t>rezultat bezpośredni</w:t>
            </w:r>
          </w:p>
        </w:tc>
        <w:tc>
          <w:tcPr>
            <w:tcW w:w="1043" w:type="dxa"/>
            <w:vAlign w:val="center"/>
          </w:tcPr>
          <w:p w:rsidR="0034340F" w:rsidRPr="009754D9" w:rsidRDefault="0034340F" w:rsidP="004A62DA">
            <w:pPr>
              <w:jc w:val="left"/>
              <w:cnfStyle w:val="000000010000"/>
              <w:rPr>
                <w:rFonts w:ascii="Arial" w:eastAsia="Times New Roman" w:hAnsi="Arial" w:cs="Arial"/>
                <w:sz w:val="18"/>
                <w:szCs w:val="18"/>
                <w:lang w:eastAsia="pl-PL"/>
              </w:rPr>
            </w:pPr>
            <w:r w:rsidRPr="009754D9">
              <w:rPr>
                <w:rFonts w:ascii="Arial" w:eastAsia="Times New Roman" w:hAnsi="Arial" w:cs="Arial"/>
                <w:sz w:val="18"/>
                <w:szCs w:val="18"/>
                <w:lang w:eastAsia="pl-PL"/>
              </w:rPr>
              <w:t>kluczowy – wspólny</w:t>
            </w:r>
          </w:p>
        </w:tc>
        <w:tc>
          <w:tcPr>
            <w:tcW w:w="964" w:type="dxa"/>
            <w:vAlign w:val="center"/>
          </w:tcPr>
          <w:p w:rsidR="0034340F" w:rsidRPr="009754D9" w:rsidRDefault="0034340F" w:rsidP="004A62DA">
            <w:pPr>
              <w:jc w:val="left"/>
              <w:cnfStyle w:val="000000010000"/>
              <w:rPr>
                <w:rFonts w:ascii="Arial" w:eastAsia="Times New Roman" w:hAnsi="Arial" w:cs="Arial"/>
                <w:sz w:val="18"/>
                <w:szCs w:val="18"/>
                <w:lang w:eastAsia="pl-PL"/>
              </w:rPr>
            </w:pPr>
            <w:r w:rsidRPr="009754D9">
              <w:rPr>
                <w:rFonts w:ascii="Arial" w:eastAsia="Times New Roman" w:hAnsi="Arial" w:cs="Arial"/>
                <w:sz w:val="18"/>
                <w:szCs w:val="18"/>
                <w:lang w:eastAsia="pl-PL"/>
              </w:rPr>
              <w:t>projekt</w:t>
            </w:r>
          </w:p>
        </w:tc>
        <w:tc>
          <w:tcPr>
            <w:tcW w:w="1287" w:type="dxa"/>
            <w:vAlign w:val="center"/>
          </w:tcPr>
          <w:p w:rsidR="0034340F" w:rsidRPr="009754D9" w:rsidRDefault="0034340F" w:rsidP="004A62DA">
            <w:pPr>
              <w:jc w:val="left"/>
              <w:cnfStyle w:val="000000010000"/>
              <w:rPr>
                <w:rFonts w:ascii="Arial" w:eastAsia="Times New Roman" w:hAnsi="Arial" w:cs="Arial"/>
                <w:sz w:val="18"/>
                <w:szCs w:val="18"/>
                <w:lang w:eastAsia="pl-PL"/>
              </w:rPr>
            </w:pPr>
            <w:r w:rsidRPr="009754D9">
              <w:rPr>
                <w:rFonts w:ascii="Arial" w:eastAsia="Times New Roman" w:hAnsi="Arial" w:cs="Arial"/>
                <w:sz w:val="18"/>
                <w:szCs w:val="18"/>
                <w:lang w:eastAsia="pl-PL"/>
              </w:rPr>
              <w:t>rozliczeniowy</w:t>
            </w:r>
          </w:p>
        </w:tc>
        <w:tc>
          <w:tcPr>
            <w:tcW w:w="1261" w:type="dxa"/>
            <w:vAlign w:val="center"/>
          </w:tcPr>
          <w:p w:rsidR="0034340F" w:rsidRPr="009754D9" w:rsidRDefault="0034340F" w:rsidP="004A62DA">
            <w:pPr>
              <w:jc w:val="left"/>
              <w:cnfStyle w:val="000000010000"/>
              <w:rPr>
                <w:rFonts w:ascii="Arial" w:eastAsia="Times New Roman" w:hAnsi="Arial" w:cs="Arial"/>
                <w:sz w:val="18"/>
                <w:szCs w:val="18"/>
                <w:lang w:eastAsia="pl-PL"/>
              </w:rPr>
            </w:pPr>
          </w:p>
        </w:tc>
        <w:tc>
          <w:tcPr>
            <w:tcW w:w="4253" w:type="dxa"/>
          </w:tcPr>
          <w:p w:rsidR="0034340F" w:rsidRPr="00427D47" w:rsidRDefault="00427D47" w:rsidP="00400464">
            <w:pPr>
              <w:shd w:val="clear" w:color="auto" w:fill="B2A1C7" w:themeFill="accent4" w:themeFillTint="99"/>
              <w:jc w:val="left"/>
              <w:cnfStyle w:val="000000010000"/>
              <w:rPr>
                <w:rFonts w:ascii="Arial" w:eastAsia="Times New Roman" w:hAnsi="Arial" w:cs="Arial"/>
                <w:b/>
                <w:i/>
                <w:sz w:val="16"/>
                <w:szCs w:val="16"/>
                <w:lang w:eastAsia="pl-PL"/>
              </w:rPr>
            </w:pPr>
            <w:r w:rsidRPr="00427D47">
              <w:rPr>
                <w:rFonts w:ascii="Arial" w:eastAsia="Times New Roman" w:hAnsi="Arial" w:cs="Arial"/>
                <w:b/>
                <w:i/>
                <w:sz w:val="16"/>
                <w:szCs w:val="16"/>
                <w:lang w:eastAsia="pl-PL"/>
              </w:rPr>
              <w:t>Definicja:</w:t>
            </w:r>
          </w:p>
          <w:p w:rsidR="00427D47" w:rsidRPr="00427D47" w:rsidRDefault="00427D47" w:rsidP="00427D47">
            <w:pPr>
              <w:pStyle w:val="Tabelatekst"/>
              <w:cnfStyle w:val="000000010000"/>
              <w:rPr>
                <w:rFonts w:cs="Arial"/>
                <w:color w:val="auto"/>
              </w:rPr>
            </w:pPr>
            <w:r w:rsidRPr="00427D47">
              <w:rPr>
                <w:rFonts w:cs="Arial"/>
                <w:color w:val="auto"/>
              </w:rPr>
              <w:t xml:space="preserve">Wskaźnik mierzy liczbę osób, które uczestniczyły w wydarzeniach odbywających się w danym obiekcie zasobów kultury będącym przedmiotem projektu i stanowiących ofertę programową danej instytucji. </w:t>
            </w:r>
          </w:p>
          <w:p w:rsidR="00427D47" w:rsidRPr="00427D47" w:rsidRDefault="00427D47" w:rsidP="00427D47">
            <w:pPr>
              <w:pStyle w:val="Tabelatekst"/>
              <w:cnfStyle w:val="000000010000"/>
              <w:rPr>
                <w:rFonts w:cs="Arial"/>
                <w:color w:val="auto"/>
              </w:rPr>
            </w:pPr>
            <w:r w:rsidRPr="00427D47">
              <w:rPr>
                <w:rFonts w:cs="Arial"/>
                <w:color w:val="auto"/>
              </w:rPr>
              <w:t xml:space="preserve">Wskaźnik obejmuje m.in.: zwiedzających muzea, galerie, słuchaczy filharmonii, widzów w teatrach, korzystających z zasobów bibliotek, uczestników prowadzonych w obiekcie zajęć i warsztatów z zakresu edukacji kulturalnej i artystycznej (w tym korzystających w sposób stały tj. uczniów / studentów szkół i uczelni artystycznych), uczestników organizowanych w obiekcie imprez, spotkań, happeningów o charakterze kulturalnym.  </w:t>
            </w:r>
          </w:p>
          <w:p w:rsidR="00427D47" w:rsidRPr="00427D47" w:rsidRDefault="00427D47" w:rsidP="00427D47">
            <w:pPr>
              <w:jc w:val="left"/>
              <w:cnfStyle w:val="000000010000"/>
              <w:rPr>
                <w:rFonts w:ascii="Arial" w:hAnsi="Arial" w:cs="Arial"/>
                <w:sz w:val="16"/>
                <w:szCs w:val="16"/>
              </w:rPr>
            </w:pPr>
            <w:r w:rsidRPr="00427D47">
              <w:rPr>
                <w:rFonts w:ascii="Arial" w:hAnsi="Arial" w:cs="Arial"/>
                <w:i/>
                <w:sz w:val="16"/>
                <w:szCs w:val="16"/>
              </w:rPr>
              <w:t>Zasoby kultury</w:t>
            </w:r>
            <w:r w:rsidRPr="00427D47">
              <w:rPr>
                <w:rFonts w:ascii="Arial" w:hAnsi="Arial" w:cs="Arial"/>
                <w:sz w:val="16"/>
                <w:szCs w:val="16"/>
              </w:rPr>
              <w:t xml:space="preserve"> – miejsca prezentacji dziedzictwa kulturowego (materialnego i niematerialnego, które należy chronić, twórczo wykorzystywać i upowszechniać wspierając tym samym możliwości kreatywne w społeczeństwie) w nowoczesny i dostosowany do potrzeb odbiorców sposób. Zasoby kultury to instytucje kultury (m.in. muzea, galerie, teatry, filharmonie, biblioteki, centra kultury) i szkolnictwa artystycznego.</w:t>
            </w:r>
          </w:p>
          <w:p w:rsidR="00427D47" w:rsidRPr="00427D47" w:rsidRDefault="00427D47" w:rsidP="00400464">
            <w:pPr>
              <w:pStyle w:val="Tabelatekst"/>
              <w:shd w:val="clear" w:color="auto" w:fill="B2A1C7" w:themeFill="accent4" w:themeFillTint="99"/>
              <w:cnfStyle w:val="000000010000"/>
              <w:rPr>
                <w:rFonts w:cs="Arial"/>
                <w:b/>
                <w:color w:val="auto"/>
              </w:rPr>
            </w:pPr>
            <w:r w:rsidRPr="00427D47">
              <w:rPr>
                <w:rFonts w:cs="Arial"/>
                <w:b/>
                <w:i/>
                <w:color w:val="auto"/>
              </w:rPr>
              <w:lastRenderedPageBreak/>
              <w:t>Sposób pomiaru:</w:t>
            </w:r>
            <w:r w:rsidRPr="00427D47">
              <w:rPr>
                <w:rFonts w:cs="Arial"/>
                <w:b/>
                <w:color w:val="auto"/>
              </w:rPr>
              <w:t xml:space="preserve"> </w:t>
            </w:r>
          </w:p>
          <w:p w:rsidR="00427D47" w:rsidRPr="00427D47" w:rsidRDefault="00427D47" w:rsidP="00427D47">
            <w:pPr>
              <w:pStyle w:val="Tabelatekst"/>
              <w:cnfStyle w:val="000000010000"/>
              <w:rPr>
                <w:rFonts w:cs="Arial"/>
                <w:color w:val="auto"/>
              </w:rPr>
            </w:pPr>
            <w:r>
              <w:rPr>
                <w:rFonts w:cs="Arial"/>
                <w:color w:val="auto"/>
              </w:rPr>
              <w:t>N</w:t>
            </w:r>
            <w:r w:rsidRPr="00427D47">
              <w:rPr>
                <w:rFonts w:cs="Arial"/>
                <w:color w:val="auto"/>
              </w:rPr>
              <w:t xml:space="preserve">ależy zliczyć liczbę uczestników w wydarzeniach odbywających się w danym obiekcie zasobów kultury będącym przedmiotem projektu i stanowiących ofertę programową danej instytucji </w:t>
            </w:r>
          </w:p>
          <w:p w:rsidR="00427D47" w:rsidRPr="00427D47" w:rsidRDefault="00427D47" w:rsidP="00427D47">
            <w:pPr>
              <w:pStyle w:val="Tabelatekst"/>
              <w:cnfStyle w:val="000000010000"/>
              <w:rPr>
                <w:rFonts w:cs="Arial"/>
                <w:b/>
                <w:color w:val="auto"/>
              </w:rPr>
            </w:pPr>
            <w:r w:rsidRPr="00427D47">
              <w:rPr>
                <w:rFonts w:cs="Arial"/>
                <w:b/>
                <w:i/>
                <w:color w:val="auto"/>
              </w:rPr>
              <w:t>Szczególne przypadki podczas pomiaru:</w:t>
            </w:r>
            <w:r w:rsidRPr="00427D47">
              <w:rPr>
                <w:rFonts w:cs="Arial"/>
                <w:b/>
                <w:color w:val="auto"/>
              </w:rPr>
              <w:t xml:space="preserve"> </w:t>
            </w:r>
          </w:p>
          <w:p w:rsidR="00427D47" w:rsidRPr="00427D47" w:rsidRDefault="00427D47" w:rsidP="00427D47">
            <w:pPr>
              <w:pStyle w:val="Tabelatekst"/>
              <w:numPr>
                <w:ilvl w:val="0"/>
                <w:numId w:val="1"/>
              </w:numPr>
              <w:ind w:left="198" w:hanging="141"/>
              <w:cnfStyle w:val="000000010000"/>
              <w:rPr>
                <w:rFonts w:cs="Arial"/>
                <w:color w:val="auto"/>
              </w:rPr>
            </w:pPr>
            <w:r w:rsidRPr="00427D47">
              <w:rPr>
                <w:rFonts w:cs="Arial"/>
                <w:color w:val="auto"/>
              </w:rPr>
              <w:t xml:space="preserve">każda osoba może być liczona wyłącznie raz, chyba że nie jest możliwa weryfikacja danych osobowych (np. w przypadku sprzedaży biletów bezimiennych), </w:t>
            </w:r>
          </w:p>
          <w:p w:rsidR="00427D47" w:rsidRPr="00427D47" w:rsidRDefault="00427D47" w:rsidP="00427D47">
            <w:pPr>
              <w:pStyle w:val="Tabelatekst"/>
              <w:numPr>
                <w:ilvl w:val="0"/>
                <w:numId w:val="1"/>
              </w:numPr>
              <w:ind w:left="198" w:hanging="141"/>
              <w:cnfStyle w:val="000000010000"/>
              <w:rPr>
                <w:rFonts w:cs="Arial"/>
                <w:color w:val="auto"/>
              </w:rPr>
            </w:pPr>
            <w:r w:rsidRPr="00427D47">
              <w:rPr>
                <w:rFonts w:cs="Arial"/>
                <w:color w:val="auto"/>
              </w:rPr>
              <w:t>jeżeli projekt dotyczy kilku obiektów zasobów kultury, również w takim przypadku jedna osoba korzystająca z kilku obiektów naraz może być wliczona wyłącznie raz,</w:t>
            </w:r>
          </w:p>
          <w:p w:rsidR="00427D47" w:rsidRPr="00427D47" w:rsidRDefault="00427D47" w:rsidP="00427D47">
            <w:pPr>
              <w:pStyle w:val="Tabelatekst"/>
              <w:numPr>
                <w:ilvl w:val="0"/>
                <w:numId w:val="1"/>
              </w:numPr>
              <w:ind w:left="198" w:hanging="141"/>
              <w:cnfStyle w:val="000000010000"/>
              <w:rPr>
                <w:rFonts w:cs="Arial"/>
                <w:color w:val="auto"/>
              </w:rPr>
            </w:pPr>
            <w:r w:rsidRPr="00427D47">
              <w:rPr>
                <w:rFonts w:cs="Arial"/>
                <w:color w:val="auto"/>
              </w:rPr>
              <w:t>w przypadku wydarzeń otwartych niebiletowanych instytucja musi przedstawić inny sposób pomiaru liczby korzystających (np. listy obecności, sprawozdania z przebiegu, lista potwierdzonych gości itp.) – wówczas może takie osoby wliczyć do wskaźnika</w:t>
            </w:r>
          </w:p>
          <w:p w:rsidR="00427D47" w:rsidRPr="00427D47" w:rsidRDefault="00427D47" w:rsidP="00427D47">
            <w:pPr>
              <w:pStyle w:val="Tabelatekst"/>
              <w:numPr>
                <w:ilvl w:val="0"/>
                <w:numId w:val="1"/>
              </w:numPr>
              <w:ind w:left="198" w:hanging="141"/>
              <w:cnfStyle w:val="000000010000"/>
              <w:rPr>
                <w:rFonts w:cs="Arial"/>
                <w:color w:val="auto"/>
              </w:rPr>
            </w:pPr>
            <w:r w:rsidRPr="00427D47">
              <w:rPr>
                <w:rFonts w:cs="Arial"/>
                <w:color w:val="auto"/>
              </w:rPr>
              <w:t>w przypadku bibliotek i innych obiektów często odwiedzanych przez te same osoby, do wskaźnika należy wliczyć liczbę kart / kont aktywnych, których posiadacze chociaż raz w badanym okresie odwiedzili dany obiekt.</w:t>
            </w:r>
          </w:p>
          <w:p w:rsidR="00427D47" w:rsidRPr="00427D47" w:rsidRDefault="00427D47" w:rsidP="00427D47">
            <w:pPr>
              <w:pStyle w:val="Tabelatekst"/>
              <w:cnfStyle w:val="000000010000"/>
              <w:rPr>
                <w:rFonts w:cs="Arial"/>
                <w:b/>
                <w:color w:val="auto"/>
              </w:rPr>
            </w:pPr>
            <w:r w:rsidRPr="00427D47">
              <w:rPr>
                <w:rFonts w:cs="Arial"/>
                <w:b/>
                <w:i/>
                <w:color w:val="auto"/>
              </w:rPr>
              <w:t>Miejsce pomiaru:</w:t>
            </w:r>
            <w:r w:rsidRPr="00427D47">
              <w:rPr>
                <w:rFonts w:cs="Arial"/>
                <w:b/>
                <w:color w:val="auto"/>
              </w:rPr>
              <w:t xml:space="preserve"> </w:t>
            </w:r>
          </w:p>
          <w:p w:rsidR="00427D47" w:rsidRPr="00427D47" w:rsidRDefault="00427D47" w:rsidP="00427D47">
            <w:pPr>
              <w:pStyle w:val="Tabelatekst"/>
              <w:cnfStyle w:val="000000010000"/>
              <w:rPr>
                <w:rFonts w:cs="Arial"/>
                <w:color w:val="auto"/>
              </w:rPr>
            </w:pPr>
            <w:r>
              <w:rPr>
                <w:rFonts w:cs="Arial"/>
                <w:color w:val="auto"/>
              </w:rPr>
              <w:t>O</w:t>
            </w:r>
            <w:r w:rsidRPr="00427D47">
              <w:rPr>
                <w:rFonts w:cs="Arial"/>
                <w:color w:val="auto"/>
              </w:rPr>
              <w:t>biekt(y) zasobów kultury objęte projektem</w:t>
            </w:r>
          </w:p>
          <w:p w:rsidR="00427D47" w:rsidRPr="00427D47" w:rsidRDefault="00427D47" w:rsidP="00427D47">
            <w:pPr>
              <w:pStyle w:val="Tabelatekst"/>
              <w:cnfStyle w:val="000000010000"/>
              <w:rPr>
                <w:rFonts w:cs="Arial"/>
                <w:b/>
                <w:color w:val="auto"/>
              </w:rPr>
            </w:pPr>
            <w:r w:rsidRPr="00427D47">
              <w:rPr>
                <w:rFonts w:cs="Arial"/>
                <w:b/>
                <w:i/>
                <w:color w:val="auto"/>
              </w:rPr>
              <w:t>Moment pomiaru:</w:t>
            </w:r>
            <w:r w:rsidRPr="00427D47">
              <w:rPr>
                <w:rFonts w:cs="Arial"/>
                <w:b/>
                <w:color w:val="auto"/>
              </w:rPr>
              <w:t xml:space="preserve"> </w:t>
            </w:r>
          </w:p>
          <w:p w:rsidR="00427D47" w:rsidRPr="00427D47" w:rsidRDefault="00427D47" w:rsidP="00427D47">
            <w:pPr>
              <w:pStyle w:val="Tabelatekst"/>
              <w:cnfStyle w:val="000000010000"/>
              <w:rPr>
                <w:rFonts w:cs="Arial"/>
                <w:color w:val="auto"/>
              </w:rPr>
            </w:pPr>
            <w:r>
              <w:rPr>
                <w:rFonts w:cs="Arial"/>
                <w:color w:val="auto"/>
              </w:rPr>
              <w:t>N</w:t>
            </w:r>
            <w:r w:rsidRPr="00427D47">
              <w:rPr>
                <w:rFonts w:cs="Arial"/>
                <w:color w:val="auto"/>
              </w:rPr>
              <w:t>a koniec 12 miesiąca od zakończenia okresu realizacji projektu określonego w umowie/decyzji o dofinansowaniu projektu lub, o ile wynika to ze specyfiki projektu, od uruchomienia przedsięwzięcia</w:t>
            </w:r>
          </w:p>
          <w:p w:rsidR="00427D47" w:rsidRPr="00427D47" w:rsidRDefault="00427D47" w:rsidP="00427D47">
            <w:pPr>
              <w:jc w:val="left"/>
              <w:cnfStyle w:val="000000010000"/>
              <w:rPr>
                <w:rFonts w:ascii="Arial" w:hAnsi="Arial" w:cs="Arial"/>
                <w:b/>
                <w:sz w:val="16"/>
                <w:szCs w:val="16"/>
              </w:rPr>
            </w:pPr>
            <w:r w:rsidRPr="00427D47">
              <w:rPr>
                <w:rFonts w:ascii="Arial" w:hAnsi="Arial" w:cs="Arial"/>
                <w:b/>
                <w:i/>
                <w:sz w:val="16"/>
                <w:szCs w:val="16"/>
              </w:rPr>
              <w:t>Czas pomiaru:</w:t>
            </w:r>
            <w:r w:rsidRPr="00427D47">
              <w:rPr>
                <w:rFonts w:ascii="Arial" w:hAnsi="Arial" w:cs="Arial"/>
                <w:b/>
                <w:sz w:val="16"/>
                <w:szCs w:val="16"/>
              </w:rPr>
              <w:t xml:space="preserve"> </w:t>
            </w:r>
          </w:p>
          <w:p w:rsidR="00427D47" w:rsidRPr="00427D47" w:rsidRDefault="00427D47" w:rsidP="00427D47">
            <w:pPr>
              <w:jc w:val="left"/>
              <w:cnfStyle w:val="000000010000"/>
              <w:rPr>
                <w:rFonts w:ascii="Arial" w:hAnsi="Arial" w:cs="Arial"/>
                <w:sz w:val="16"/>
                <w:szCs w:val="16"/>
              </w:rPr>
            </w:pPr>
            <w:r>
              <w:rPr>
                <w:rFonts w:ascii="Arial" w:hAnsi="Arial" w:cs="Arial"/>
                <w:sz w:val="16"/>
                <w:szCs w:val="16"/>
              </w:rPr>
              <w:t>W</w:t>
            </w:r>
            <w:r w:rsidRPr="00427D47">
              <w:rPr>
                <w:rFonts w:ascii="Arial" w:hAnsi="Arial" w:cs="Arial"/>
                <w:sz w:val="16"/>
                <w:szCs w:val="16"/>
              </w:rPr>
              <w:t xml:space="preserve"> okresie 12 miesięcy od zakończenia okresu realizacji projektu określonego w umowie/decyzji o dofinansowaniu projektu lub, o ile wynika to ze specyfiki projektu, od uruchomienia przedsięwzięcia.</w:t>
            </w:r>
          </w:p>
          <w:p w:rsidR="00427D47" w:rsidRPr="00427D47" w:rsidRDefault="00427D47" w:rsidP="00400464">
            <w:pPr>
              <w:shd w:val="clear" w:color="auto" w:fill="B2A1C7" w:themeFill="accent4" w:themeFillTint="99"/>
              <w:jc w:val="left"/>
              <w:cnfStyle w:val="000000010000"/>
              <w:rPr>
                <w:rFonts w:ascii="Arial" w:hAnsi="Arial" w:cs="Arial"/>
                <w:b/>
                <w:i/>
                <w:sz w:val="16"/>
                <w:szCs w:val="16"/>
              </w:rPr>
            </w:pPr>
            <w:r w:rsidRPr="00427D47">
              <w:rPr>
                <w:rFonts w:ascii="Arial" w:hAnsi="Arial" w:cs="Arial"/>
                <w:b/>
                <w:i/>
                <w:sz w:val="16"/>
                <w:szCs w:val="16"/>
              </w:rPr>
              <w:t>Źródło:</w:t>
            </w:r>
          </w:p>
          <w:p w:rsidR="00427D47" w:rsidRPr="00427D47" w:rsidRDefault="00427D47" w:rsidP="00427D47">
            <w:pPr>
              <w:pStyle w:val="Tabelatekst"/>
              <w:cnfStyle w:val="000000010000"/>
              <w:rPr>
                <w:rFonts w:cs="Arial"/>
                <w:color w:val="auto"/>
              </w:rPr>
            </w:pPr>
            <w:r w:rsidRPr="00427D47">
              <w:rPr>
                <w:rFonts w:cs="Arial"/>
                <w:color w:val="auto"/>
              </w:rPr>
              <w:t xml:space="preserve">Źródłem informacji ex-post jest dział sprzedaży (liczba klientów, którzy chociaż raz kupili bilet lub skorzystali z karty / konta, aby wejść do obiektu, listy obecności, sprawozdania itp.). Dane można pozyskać również z systemu informatycznego, jeżeli taki funkcjonuje w obiekcie. </w:t>
            </w:r>
          </w:p>
          <w:p w:rsidR="00427D47" w:rsidRPr="00427D47" w:rsidRDefault="00427D47" w:rsidP="00427D47">
            <w:pPr>
              <w:jc w:val="left"/>
              <w:cnfStyle w:val="000000010000"/>
              <w:rPr>
                <w:rFonts w:ascii="Arial" w:hAnsi="Arial" w:cs="Arial"/>
                <w:sz w:val="16"/>
                <w:szCs w:val="16"/>
              </w:rPr>
            </w:pPr>
            <w:r w:rsidRPr="00427D47">
              <w:rPr>
                <w:rFonts w:ascii="Arial" w:hAnsi="Arial" w:cs="Arial"/>
                <w:sz w:val="16"/>
                <w:szCs w:val="16"/>
              </w:rPr>
              <w:lastRenderedPageBreak/>
              <w:t>Źródłem informacji ex-ante może być analiza popytu na usługi, badania terenowe lub szacunki oparte na doświadczeniach podobnych miejsc lub obiektów, które realizowały podobne projekty.</w:t>
            </w:r>
          </w:p>
        </w:tc>
      </w:tr>
      <w:tr w:rsidR="008C778E" w:rsidRPr="009754D9" w:rsidTr="003E536A">
        <w:trPr>
          <w:cnfStyle w:val="000000100000"/>
          <w:trHeight w:val="570"/>
        </w:trPr>
        <w:tc>
          <w:tcPr>
            <w:cnfStyle w:val="001000000000"/>
            <w:tcW w:w="3030" w:type="dxa"/>
            <w:vAlign w:val="center"/>
          </w:tcPr>
          <w:p w:rsidR="008C778E" w:rsidRPr="009754D9" w:rsidRDefault="00A50357" w:rsidP="008C778E">
            <w:pPr>
              <w:jc w:val="left"/>
              <w:rPr>
                <w:rFonts w:ascii="Arial" w:eastAsia="Times New Roman" w:hAnsi="Arial" w:cs="Arial"/>
                <w:sz w:val="18"/>
                <w:szCs w:val="18"/>
                <w:lang w:eastAsia="pl-PL"/>
              </w:rPr>
            </w:pPr>
            <w:r w:rsidRPr="00A50357">
              <w:rPr>
                <w:rFonts w:ascii="Arial" w:eastAsia="Times New Roman" w:hAnsi="Arial" w:cs="Arial"/>
                <w:sz w:val="18"/>
                <w:szCs w:val="18"/>
                <w:lang w:eastAsia="pl-PL"/>
              </w:rPr>
              <w:lastRenderedPageBreak/>
              <w:t>Liczba zabytków nieruchomych objętych wsparciem</w:t>
            </w:r>
          </w:p>
        </w:tc>
        <w:tc>
          <w:tcPr>
            <w:tcW w:w="1107" w:type="dxa"/>
            <w:vAlign w:val="center"/>
          </w:tcPr>
          <w:p w:rsidR="008C778E" w:rsidRPr="009754D9" w:rsidRDefault="00A50357" w:rsidP="008C778E">
            <w:pPr>
              <w:jc w:val="left"/>
              <w:cnfStyle w:val="000000100000"/>
              <w:rPr>
                <w:rFonts w:ascii="Arial" w:eastAsia="Times New Roman" w:hAnsi="Arial" w:cs="Arial"/>
                <w:sz w:val="18"/>
                <w:szCs w:val="18"/>
                <w:lang w:eastAsia="pl-PL"/>
              </w:rPr>
            </w:pPr>
            <w:r>
              <w:rPr>
                <w:rFonts w:ascii="Arial" w:eastAsia="Times New Roman" w:hAnsi="Arial" w:cs="Arial"/>
                <w:sz w:val="18"/>
                <w:szCs w:val="18"/>
                <w:lang w:eastAsia="pl-PL"/>
              </w:rPr>
              <w:t>szt.</w:t>
            </w:r>
          </w:p>
        </w:tc>
        <w:tc>
          <w:tcPr>
            <w:tcW w:w="1197" w:type="dxa"/>
            <w:vAlign w:val="center"/>
          </w:tcPr>
          <w:p w:rsidR="008C778E" w:rsidRPr="009754D9" w:rsidRDefault="00A50357" w:rsidP="008C778E">
            <w:pPr>
              <w:jc w:val="left"/>
              <w:cnfStyle w:val="000000100000"/>
              <w:rPr>
                <w:rFonts w:ascii="Arial" w:eastAsia="Times New Roman" w:hAnsi="Arial" w:cs="Arial"/>
                <w:sz w:val="18"/>
                <w:szCs w:val="18"/>
                <w:lang w:eastAsia="pl-PL"/>
              </w:rPr>
            </w:pPr>
            <w:r>
              <w:rPr>
                <w:rFonts w:ascii="Arial" w:eastAsia="Times New Roman" w:hAnsi="Arial" w:cs="Arial"/>
                <w:sz w:val="18"/>
                <w:szCs w:val="18"/>
                <w:lang w:eastAsia="pl-PL"/>
              </w:rPr>
              <w:t>produkt</w:t>
            </w:r>
          </w:p>
        </w:tc>
        <w:tc>
          <w:tcPr>
            <w:tcW w:w="1043" w:type="dxa"/>
            <w:vAlign w:val="center"/>
          </w:tcPr>
          <w:p w:rsidR="008C778E" w:rsidRPr="009754D9" w:rsidRDefault="008C778E" w:rsidP="008C778E">
            <w:pPr>
              <w:jc w:val="left"/>
              <w:cnfStyle w:val="000000100000"/>
              <w:rPr>
                <w:rFonts w:ascii="Arial" w:eastAsia="Times New Roman" w:hAnsi="Arial" w:cs="Arial"/>
                <w:sz w:val="18"/>
                <w:szCs w:val="18"/>
                <w:lang w:eastAsia="pl-PL"/>
              </w:rPr>
            </w:pPr>
            <w:r w:rsidRPr="009754D9">
              <w:rPr>
                <w:rFonts w:ascii="Arial" w:eastAsia="Times New Roman" w:hAnsi="Arial" w:cs="Arial"/>
                <w:sz w:val="18"/>
                <w:szCs w:val="18"/>
                <w:lang w:eastAsia="pl-PL"/>
              </w:rPr>
              <w:t>kluczowy - krajowy</w:t>
            </w:r>
          </w:p>
        </w:tc>
        <w:tc>
          <w:tcPr>
            <w:tcW w:w="964" w:type="dxa"/>
            <w:vAlign w:val="center"/>
          </w:tcPr>
          <w:p w:rsidR="008C778E" w:rsidRPr="009754D9" w:rsidRDefault="008C778E" w:rsidP="008C778E">
            <w:pPr>
              <w:jc w:val="left"/>
              <w:cnfStyle w:val="000000100000"/>
              <w:rPr>
                <w:rFonts w:ascii="Arial" w:eastAsia="Times New Roman" w:hAnsi="Arial" w:cs="Arial"/>
                <w:sz w:val="18"/>
                <w:szCs w:val="18"/>
                <w:lang w:eastAsia="pl-PL"/>
              </w:rPr>
            </w:pPr>
            <w:r w:rsidRPr="009754D9">
              <w:rPr>
                <w:rFonts w:ascii="Arial" w:eastAsia="Times New Roman" w:hAnsi="Arial" w:cs="Arial"/>
                <w:sz w:val="18"/>
                <w:szCs w:val="18"/>
                <w:lang w:eastAsia="pl-PL"/>
              </w:rPr>
              <w:t>projekt</w:t>
            </w:r>
          </w:p>
        </w:tc>
        <w:tc>
          <w:tcPr>
            <w:tcW w:w="1287" w:type="dxa"/>
            <w:vAlign w:val="center"/>
          </w:tcPr>
          <w:p w:rsidR="008C778E" w:rsidRPr="009754D9" w:rsidRDefault="008C778E" w:rsidP="008C778E">
            <w:pPr>
              <w:jc w:val="left"/>
              <w:cnfStyle w:val="000000100000"/>
              <w:rPr>
                <w:rFonts w:ascii="Arial" w:eastAsia="Times New Roman" w:hAnsi="Arial" w:cs="Arial"/>
                <w:sz w:val="18"/>
                <w:szCs w:val="18"/>
                <w:lang w:eastAsia="pl-PL"/>
              </w:rPr>
            </w:pPr>
            <w:r w:rsidRPr="009754D9">
              <w:rPr>
                <w:rFonts w:ascii="Arial" w:eastAsia="Times New Roman" w:hAnsi="Arial" w:cs="Arial"/>
                <w:sz w:val="18"/>
                <w:szCs w:val="18"/>
                <w:lang w:eastAsia="pl-PL"/>
              </w:rPr>
              <w:t>rozliczeniowy</w:t>
            </w:r>
          </w:p>
        </w:tc>
        <w:tc>
          <w:tcPr>
            <w:tcW w:w="1261" w:type="dxa"/>
            <w:vAlign w:val="center"/>
          </w:tcPr>
          <w:p w:rsidR="008C778E" w:rsidRPr="009754D9" w:rsidRDefault="008C778E" w:rsidP="008C778E">
            <w:pPr>
              <w:jc w:val="left"/>
              <w:cnfStyle w:val="000000100000"/>
              <w:rPr>
                <w:rFonts w:ascii="Arial" w:eastAsia="Times New Roman" w:hAnsi="Arial" w:cs="Arial"/>
                <w:sz w:val="18"/>
                <w:szCs w:val="18"/>
                <w:lang w:eastAsia="pl-PL"/>
              </w:rPr>
            </w:pPr>
          </w:p>
        </w:tc>
        <w:tc>
          <w:tcPr>
            <w:tcW w:w="4253" w:type="dxa"/>
          </w:tcPr>
          <w:p w:rsidR="008C778E" w:rsidRPr="00427D47" w:rsidRDefault="00427D47" w:rsidP="00400464">
            <w:pPr>
              <w:shd w:val="clear" w:color="auto" w:fill="B2A1C7" w:themeFill="accent4" w:themeFillTint="99"/>
              <w:jc w:val="left"/>
              <w:cnfStyle w:val="000000100000"/>
              <w:rPr>
                <w:rFonts w:ascii="Arial" w:eastAsia="Times New Roman" w:hAnsi="Arial" w:cs="Arial"/>
                <w:b/>
                <w:i/>
                <w:sz w:val="16"/>
                <w:szCs w:val="16"/>
                <w:lang w:eastAsia="pl-PL"/>
              </w:rPr>
            </w:pPr>
            <w:r w:rsidRPr="00427D47">
              <w:rPr>
                <w:rFonts w:ascii="Arial" w:eastAsia="Times New Roman" w:hAnsi="Arial" w:cs="Arial"/>
                <w:b/>
                <w:i/>
                <w:sz w:val="16"/>
                <w:szCs w:val="16"/>
                <w:lang w:eastAsia="pl-PL"/>
              </w:rPr>
              <w:t>Definicja:</w:t>
            </w:r>
          </w:p>
          <w:p w:rsidR="00427D47" w:rsidRPr="00427D47" w:rsidRDefault="00427D47" w:rsidP="00427D47">
            <w:pPr>
              <w:pStyle w:val="Tabelatekst"/>
              <w:cnfStyle w:val="000000100000"/>
              <w:rPr>
                <w:rFonts w:cs="Arial"/>
                <w:color w:val="auto"/>
              </w:rPr>
            </w:pPr>
            <w:r w:rsidRPr="00427D47">
              <w:rPr>
                <w:rFonts w:cs="Arial"/>
                <w:color w:val="auto"/>
              </w:rPr>
              <w:t>Wskaźnik mierzy liczbę zabytków nieruchomych (wpisanych do rejestru zabytków lub objętych inną formą ochrony), które zostały zrewitalizowane, zachowane, zabezpieczone na wypadek zagrożeń, zrewaloryzowane, poddane konserwacji, renowacji, restauracji, a także adaptacji na cele kulturalne w ramach realizowanego projektu.</w:t>
            </w:r>
          </w:p>
          <w:p w:rsidR="00427D47" w:rsidRPr="00427D47" w:rsidRDefault="00427D47" w:rsidP="00427D47">
            <w:pPr>
              <w:pStyle w:val="Tabelatekst"/>
              <w:cnfStyle w:val="000000100000"/>
              <w:rPr>
                <w:rFonts w:cs="Arial"/>
                <w:color w:val="auto"/>
              </w:rPr>
            </w:pPr>
            <w:r w:rsidRPr="00427D47">
              <w:rPr>
                <w:rFonts w:cs="Arial"/>
                <w:i/>
                <w:color w:val="auto"/>
              </w:rPr>
              <w:t>Zabytek</w:t>
            </w:r>
            <w:r w:rsidRPr="00427D47">
              <w:rPr>
                <w:rFonts w:cs="Arial"/>
                <w:color w:val="auto"/>
              </w:rPr>
              <w:t xml:space="preserve"> – nieruchomość lub rzecz ruchoma, jej część lub zespoły, będące dziełem człowieka lub związane z jego działalnością i stanowiące świadectwo minionej epoki bądź zdarzenia, których zachowanie leży w interesie społecznym ze względu na posiadaną wartość historyczną, artystyczną lub naukową (art. 3 pkt 1 ustawy z dnia 23 lipca 2003 r. o ochronie zabytków i opiece nad zabytkami, tekst jedn.).</w:t>
            </w:r>
          </w:p>
          <w:p w:rsidR="00427D47" w:rsidRPr="00427D47" w:rsidRDefault="00427D47" w:rsidP="00427D47">
            <w:pPr>
              <w:jc w:val="left"/>
              <w:cnfStyle w:val="000000100000"/>
              <w:rPr>
                <w:rFonts w:ascii="Arial" w:hAnsi="Arial" w:cs="Arial"/>
                <w:sz w:val="16"/>
                <w:szCs w:val="16"/>
              </w:rPr>
            </w:pPr>
            <w:r w:rsidRPr="00427D47">
              <w:rPr>
                <w:rFonts w:ascii="Arial" w:hAnsi="Arial" w:cs="Arial"/>
                <w:i/>
                <w:sz w:val="16"/>
                <w:szCs w:val="16"/>
              </w:rPr>
              <w:t>Zabytek nieruchomy</w:t>
            </w:r>
            <w:r w:rsidRPr="00427D47">
              <w:rPr>
                <w:rFonts w:ascii="Arial" w:hAnsi="Arial" w:cs="Arial"/>
                <w:sz w:val="16"/>
                <w:szCs w:val="16"/>
              </w:rPr>
              <w:t xml:space="preserve"> – nieruchomość, jej część lub zespół nieruchomości, o których mowa powyżej. Zabytki nieruchome są w szczególności: a) krajobrazami kulturowymi, b) układami urbanistycznymi, ruralistycznymi i zespołami budowlanymi, c) dziełami architektury i budownictwa, d) dziełami budownictwa obronnego, e) obiektami techniki, a zwłaszcza kopalniami, hutami, elektrowniami i innymi zakładami przemysłowymi, f) cmentarzami, g) parkami, ogrodami i innymi formami zaprojektowanej zieleni, h) miejscami upamiętniającymi wydarzenia historyczne bądź działalność wybitnych osobistości lub instytucji (art. 3 pkt 2 i art. 6 pkt 1.1 ustawy z dnia 23 lipca 2003 r. o ochronie zabytków i opiece nad zabytkami, tekst jedn.).</w:t>
            </w:r>
          </w:p>
          <w:p w:rsidR="00400464" w:rsidRPr="00400464" w:rsidRDefault="00427D47" w:rsidP="00400464">
            <w:pPr>
              <w:pStyle w:val="Tabelatekst"/>
              <w:shd w:val="clear" w:color="auto" w:fill="B2A1C7" w:themeFill="accent4" w:themeFillTint="99"/>
              <w:cnfStyle w:val="000000100000"/>
              <w:rPr>
                <w:rFonts w:cs="Arial"/>
                <w:b/>
                <w:i/>
                <w:color w:val="auto"/>
              </w:rPr>
            </w:pPr>
            <w:r w:rsidRPr="00400464">
              <w:rPr>
                <w:rFonts w:cs="Arial"/>
                <w:b/>
                <w:i/>
                <w:color w:val="auto"/>
              </w:rPr>
              <w:t xml:space="preserve">Sposób pomiaru: </w:t>
            </w:r>
          </w:p>
          <w:p w:rsidR="00427D47" w:rsidRPr="00427D47" w:rsidRDefault="00400464" w:rsidP="00427D47">
            <w:pPr>
              <w:pStyle w:val="Tabelatekst"/>
              <w:cnfStyle w:val="000000100000"/>
              <w:rPr>
                <w:rFonts w:cs="Arial"/>
                <w:color w:val="auto"/>
              </w:rPr>
            </w:pPr>
            <w:r>
              <w:rPr>
                <w:rFonts w:cs="Arial"/>
                <w:color w:val="auto"/>
              </w:rPr>
              <w:t>N</w:t>
            </w:r>
            <w:r w:rsidR="00427D47" w:rsidRPr="00427D47">
              <w:rPr>
                <w:rFonts w:cs="Arial"/>
                <w:color w:val="auto"/>
              </w:rPr>
              <w:t xml:space="preserve">ależy zliczyć liczbę zabytków nieruchomych (wpisanych do rejestru zabytków lub objętych inną formą ochrony), które zostały zrewitalizowane, zachowane, zabezpieczone na wypadek zagrożeń, zrewaloryzowane, poddane konserwacji, renowacji, restauracji, a także adaptacji na cele kulturalne w ramach realizowanych projektów. Jeden wpis do rejestru zabytków liczony jest jako jeden zabytek. </w:t>
            </w:r>
          </w:p>
          <w:p w:rsidR="00400464" w:rsidRPr="00400464" w:rsidRDefault="00427D47" w:rsidP="00427D47">
            <w:pPr>
              <w:jc w:val="left"/>
              <w:cnfStyle w:val="000000100000"/>
              <w:rPr>
                <w:rFonts w:ascii="Arial" w:hAnsi="Arial" w:cs="Arial"/>
                <w:b/>
                <w:sz w:val="16"/>
                <w:szCs w:val="16"/>
              </w:rPr>
            </w:pPr>
            <w:r w:rsidRPr="00400464">
              <w:rPr>
                <w:rFonts w:ascii="Arial" w:hAnsi="Arial" w:cs="Arial"/>
                <w:b/>
                <w:i/>
                <w:sz w:val="16"/>
                <w:szCs w:val="16"/>
              </w:rPr>
              <w:t>Moment pomiaru:</w:t>
            </w:r>
            <w:r w:rsidRPr="00400464">
              <w:rPr>
                <w:rFonts w:ascii="Arial" w:hAnsi="Arial" w:cs="Arial"/>
                <w:b/>
                <w:sz w:val="16"/>
                <w:szCs w:val="16"/>
              </w:rPr>
              <w:t xml:space="preserve"> </w:t>
            </w:r>
          </w:p>
          <w:p w:rsidR="00427D47" w:rsidRPr="00427D47" w:rsidRDefault="00400464" w:rsidP="00427D47">
            <w:pPr>
              <w:jc w:val="left"/>
              <w:cnfStyle w:val="000000100000"/>
              <w:rPr>
                <w:rFonts w:ascii="Arial" w:hAnsi="Arial" w:cs="Arial"/>
                <w:sz w:val="16"/>
                <w:szCs w:val="16"/>
              </w:rPr>
            </w:pPr>
            <w:r>
              <w:rPr>
                <w:rFonts w:ascii="Arial" w:hAnsi="Arial" w:cs="Arial"/>
                <w:sz w:val="16"/>
                <w:szCs w:val="16"/>
              </w:rPr>
              <w:lastRenderedPageBreak/>
              <w:t>W</w:t>
            </w:r>
            <w:r w:rsidR="00427D47" w:rsidRPr="00427D47">
              <w:rPr>
                <w:rFonts w:ascii="Arial" w:hAnsi="Arial" w:cs="Arial"/>
                <w:sz w:val="16"/>
                <w:szCs w:val="16"/>
              </w:rPr>
              <w:t xml:space="preserve"> okresie od podpisania umowy o dofinansowanie, przy czym osiągnięte wartości powinny zostać wykazane najpóźniej we wniosku o płatność końcową.</w:t>
            </w:r>
          </w:p>
          <w:p w:rsidR="00427D47" w:rsidRPr="00400464" w:rsidRDefault="00427D47" w:rsidP="00400464">
            <w:pPr>
              <w:shd w:val="clear" w:color="auto" w:fill="B2A1C7" w:themeFill="accent4" w:themeFillTint="99"/>
              <w:jc w:val="left"/>
              <w:cnfStyle w:val="000000100000"/>
              <w:rPr>
                <w:rFonts w:ascii="Arial" w:hAnsi="Arial" w:cs="Arial"/>
                <w:b/>
                <w:i/>
                <w:sz w:val="16"/>
                <w:szCs w:val="16"/>
              </w:rPr>
            </w:pPr>
            <w:r w:rsidRPr="00400464">
              <w:rPr>
                <w:rFonts w:ascii="Arial" w:hAnsi="Arial" w:cs="Arial"/>
                <w:b/>
                <w:i/>
                <w:sz w:val="16"/>
                <w:szCs w:val="16"/>
              </w:rPr>
              <w:t>Źródło:</w:t>
            </w:r>
          </w:p>
          <w:p w:rsidR="00427D47" w:rsidRPr="00427D47" w:rsidRDefault="00427D47" w:rsidP="00427D47">
            <w:pPr>
              <w:jc w:val="left"/>
              <w:cnfStyle w:val="000000100000"/>
              <w:rPr>
                <w:rFonts w:ascii="Arial" w:eastAsia="Times New Roman" w:hAnsi="Arial" w:cs="Arial"/>
                <w:sz w:val="16"/>
                <w:szCs w:val="16"/>
                <w:lang w:eastAsia="pl-PL"/>
              </w:rPr>
            </w:pPr>
            <w:r w:rsidRPr="00427D47">
              <w:rPr>
                <w:rFonts w:ascii="Arial" w:hAnsi="Arial" w:cs="Arial"/>
                <w:sz w:val="16"/>
                <w:szCs w:val="16"/>
              </w:rPr>
              <w:t>Dane pozyskiwane z protokołów odbioru konkretnych robót ze wskazaniem danego zabytku. Weryfikacja zabytków następuje w oparciu o rejestr zabytków. Rejestr zabytków dla zabytków znajdujących się na terenie województwa prowadzi wojewódzki konserwator zabytków. Dane z rejestru zabytków gromadzi Narodowy Instytut Dziedzictwa.</w:t>
            </w:r>
          </w:p>
        </w:tc>
      </w:tr>
      <w:tr w:rsidR="00A50357" w:rsidRPr="007B25DC" w:rsidTr="00427D47">
        <w:trPr>
          <w:cnfStyle w:val="000000010000"/>
          <w:trHeight w:val="570"/>
        </w:trPr>
        <w:tc>
          <w:tcPr>
            <w:cnfStyle w:val="001000000000"/>
            <w:tcW w:w="3030" w:type="dxa"/>
            <w:vAlign w:val="center"/>
          </w:tcPr>
          <w:p w:rsidR="00A50357" w:rsidRPr="009754D9" w:rsidRDefault="00A50357" w:rsidP="00A50357">
            <w:pPr>
              <w:jc w:val="left"/>
              <w:rPr>
                <w:rFonts w:ascii="Arial" w:eastAsia="Times New Roman" w:hAnsi="Arial" w:cs="Arial"/>
                <w:sz w:val="18"/>
                <w:szCs w:val="18"/>
                <w:lang w:eastAsia="pl-PL"/>
              </w:rPr>
            </w:pPr>
            <w:r w:rsidRPr="00A50357">
              <w:rPr>
                <w:rFonts w:ascii="Arial" w:eastAsia="Times New Roman" w:hAnsi="Arial" w:cs="Arial"/>
                <w:sz w:val="18"/>
                <w:szCs w:val="18"/>
                <w:lang w:eastAsia="pl-PL"/>
              </w:rPr>
              <w:lastRenderedPageBreak/>
              <w:t>Liczba wspartych instytucji paramuzelanych</w:t>
            </w:r>
          </w:p>
        </w:tc>
        <w:tc>
          <w:tcPr>
            <w:tcW w:w="1107" w:type="dxa"/>
            <w:vAlign w:val="center"/>
          </w:tcPr>
          <w:p w:rsidR="00A50357" w:rsidRPr="009754D9" w:rsidRDefault="00A50357" w:rsidP="00A50357">
            <w:pPr>
              <w:jc w:val="left"/>
              <w:cnfStyle w:val="000000010000"/>
              <w:rPr>
                <w:rFonts w:ascii="Arial" w:eastAsia="Times New Roman" w:hAnsi="Arial" w:cs="Arial"/>
                <w:sz w:val="18"/>
                <w:szCs w:val="18"/>
                <w:lang w:eastAsia="pl-PL"/>
              </w:rPr>
            </w:pPr>
            <w:r>
              <w:rPr>
                <w:rFonts w:ascii="Arial" w:eastAsia="Times New Roman" w:hAnsi="Arial" w:cs="Arial"/>
                <w:sz w:val="18"/>
                <w:szCs w:val="18"/>
                <w:lang w:eastAsia="pl-PL"/>
              </w:rPr>
              <w:t>szt.</w:t>
            </w:r>
          </w:p>
        </w:tc>
        <w:tc>
          <w:tcPr>
            <w:tcW w:w="1197" w:type="dxa"/>
            <w:vAlign w:val="center"/>
          </w:tcPr>
          <w:p w:rsidR="00A50357" w:rsidRPr="009754D9" w:rsidRDefault="00A50357" w:rsidP="00A50357">
            <w:pPr>
              <w:jc w:val="left"/>
              <w:cnfStyle w:val="000000010000"/>
              <w:rPr>
                <w:rFonts w:ascii="Arial" w:eastAsia="Times New Roman" w:hAnsi="Arial" w:cs="Arial"/>
                <w:sz w:val="18"/>
                <w:szCs w:val="18"/>
                <w:lang w:eastAsia="pl-PL"/>
              </w:rPr>
            </w:pPr>
            <w:r>
              <w:rPr>
                <w:rFonts w:ascii="Arial" w:eastAsia="Times New Roman" w:hAnsi="Arial" w:cs="Arial"/>
                <w:sz w:val="18"/>
                <w:szCs w:val="18"/>
                <w:lang w:eastAsia="pl-PL"/>
              </w:rPr>
              <w:t>produkt</w:t>
            </w:r>
          </w:p>
        </w:tc>
        <w:tc>
          <w:tcPr>
            <w:tcW w:w="1043" w:type="dxa"/>
            <w:vAlign w:val="center"/>
          </w:tcPr>
          <w:p w:rsidR="00A50357" w:rsidRPr="009754D9" w:rsidRDefault="00A50357" w:rsidP="00427D47">
            <w:pPr>
              <w:jc w:val="left"/>
              <w:cnfStyle w:val="000000010000"/>
              <w:rPr>
                <w:rFonts w:ascii="Arial" w:eastAsia="Times New Roman" w:hAnsi="Arial" w:cs="Arial"/>
                <w:sz w:val="18"/>
                <w:szCs w:val="18"/>
                <w:lang w:eastAsia="pl-PL"/>
              </w:rPr>
            </w:pPr>
            <w:r w:rsidRPr="009754D9">
              <w:rPr>
                <w:rFonts w:ascii="Arial" w:eastAsia="Times New Roman" w:hAnsi="Arial" w:cs="Arial"/>
                <w:sz w:val="18"/>
                <w:szCs w:val="18"/>
                <w:lang w:eastAsia="pl-PL"/>
              </w:rPr>
              <w:t>kluczowy - krajowy</w:t>
            </w:r>
          </w:p>
        </w:tc>
        <w:tc>
          <w:tcPr>
            <w:tcW w:w="964" w:type="dxa"/>
            <w:vAlign w:val="center"/>
          </w:tcPr>
          <w:p w:rsidR="00A50357" w:rsidRPr="009754D9" w:rsidRDefault="00A50357" w:rsidP="00427D47">
            <w:pPr>
              <w:jc w:val="left"/>
              <w:cnfStyle w:val="000000010000"/>
              <w:rPr>
                <w:rFonts w:ascii="Arial" w:eastAsia="Times New Roman" w:hAnsi="Arial" w:cs="Arial"/>
                <w:sz w:val="18"/>
                <w:szCs w:val="18"/>
                <w:lang w:eastAsia="pl-PL"/>
              </w:rPr>
            </w:pPr>
            <w:r w:rsidRPr="009754D9">
              <w:rPr>
                <w:rFonts w:ascii="Arial" w:eastAsia="Times New Roman" w:hAnsi="Arial" w:cs="Arial"/>
                <w:sz w:val="18"/>
                <w:szCs w:val="18"/>
                <w:lang w:eastAsia="pl-PL"/>
              </w:rPr>
              <w:t>projekt</w:t>
            </w:r>
          </w:p>
        </w:tc>
        <w:tc>
          <w:tcPr>
            <w:tcW w:w="1287" w:type="dxa"/>
            <w:vAlign w:val="center"/>
          </w:tcPr>
          <w:p w:rsidR="00A50357" w:rsidRPr="009754D9" w:rsidRDefault="00A50357" w:rsidP="00427D47">
            <w:pPr>
              <w:jc w:val="left"/>
              <w:cnfStyle w:val="000000010000"/>
              <w:rPr>
                <w:rFonts w:ascii="Arial" w:eastAsia="Times New Roman" w:hAnsi="Arial" w:cs="Arial"/>
                <w:sz w:val="18"/>
                <w:szCs w:val="18"/>
                <w:lang w:eastAsia="pl-PL"/>
              </w:rPr>
            </w:pPr>
            <w:r w:rsidRPr="009754D9">
              <w:rPr>
                <w:rFonts w:ascii="Arial" w:eastAsia="Times New Roman" w:hAnsi="Arial" w:cs="Arial"/>
                <w:sz w:val="18"/>
                <w:szCs w:val="18"/>
                <w:lang w:eastAsia="pl-PL"/>
              </w:rPr>
              <w:t>rozliczeniowy</w:t>
            </w:r>
          </w:p>
        </w:tc>
        <w:tc>
          <w:tcPr>
            <w:tcW w:w="1261" w:type="dxa"/>
            <w:vAlign w:val="center"/>
          </w:tcPr>
          <w:p w:rsidR="00A50357" w:rsidRPr="009754D9" w:rsidRDefault="00A50357" w:rsidP="00A50357">
            <w:pPr>
              <w:jc w:val="left"/>
              <w:cnfStyle w:val="000000010000"/>
              <w:rPr>
                <w:rFonts w:ascii="Arial" w:eastAsia="Times New Roman" w:hAnsi="Arial" w:cs="Arial"/>
                <w:sz w:val="18"/>
                <w:szCs w:val="18"/>
                <w:lang w:eastAsia="pl-PL"/>
              </w:rPr>
            </w:pPr>
          </w:p>
        </w:tc>
        <w:tc>
          <w:tcPr>
            <w:tcW w:w="4253" w:type="dxa"/>
          </w:tcPr>
          <w:p w:rsidR="00A50357" w:rsidRPr="00400464" w:rsidRDefault="00400464" w:rsidP="00400464">
            <w:pPr>
              <w:shd w:val="clear" w:color="auto" w:fill="B2A1C7" w:themeFill="accent4" w:themeFillTint="99"/>
              <w:jc w:val="left"/>
              <w:cnfStyle w:val="000000010000"/>
              <w:rPr>
                <w:rFonts w:ascii="Arial" w:eastAsia="Times New Roman" w:hAnsi="Arial" w:cs="Arial"/>
                <w:b/>
                <w:i/>
                <w:sz w:val="16"/>
                <w:szCs w:val="16"/>
                <w:lang w:eastAsia="pl-PL"/>
              </w:rPr>
            </w:pPr>
            <w:r w:rsidRPr="00400464">
              <w:rPr>
                <w:rFonts w:ascii="Arial" w:eastAsia="Times New Roman" w:hAnsi="Arial" w:cs="Arial"/>
                <w:b/>
                <w:i/>
                <w:sz w:val="16"/>
                <w:szCs w:val="16"/>
                <w:lang w:eastAsia="pl-PL"/>
              </w:rPr>
              <w:t>Definicja:</w:t>
            </w:r>
          </w:p>
          <w:p w:rsidR="00400464" w:rsidRPr="00400464" w:rsidRDefault="00400464" w:rsidP="00400464">
            <w:pPr>
              <w:pStyle w:val="Tabelatekst"/>
              <w:cnfStyle w:val="000000010000"/>
              <w:rPr>
                <w:rFonts w:cs="Arial"/>
                <w:color w:val="auto"/>
              </w:rPr>
            </w:pPr>
            <w:r w:rsidRPr="00400464">
              <w:rPr>
                <w:rFonts w:cs="Arial"/>
                <w:color w:val="auto"/>
              </w:rPr>
              <w:t xml:space="preserve">Liczba instytucji paramuzealnych objętych wsparciem w ramach projektów. </w:t>
            </w:r>
          </w:p>
          <w:p w:rsidR="00400464" w:rsidRPr="00400464" w:rsidRDefault="00400464" w:rsidP="00400464">
            <w:pPr>
              <w:jc w:val="left"/>
              <w:cnfStyle w:val="000000010000"/>
              <w:rPr>
                <w:rFonts w:ascii="Arial" w:hAnsi="Arial" w:cs="Arial"/>
                <w:sz w:val="16"/>
                <w:szCs w:val="16"/>
              </w:rPr>
            </w:pPr>
            <w:r w:rsidRPr="00400464">
              <w:rPr>
                <w:rFonts w:ascii="Arial" w:hAnsi="Arial" w:cs="Arial"/>
                <w:i/>
                <w:sz w:val="16"/>
                <w:szCs w:val="16"/>
              </w:rPr>
              <w:t>Instytucja paramuzealna</w:t>
            </w:r>
            <w:r w:rsidRPr="00400464">
              <w:rPr>
                <w:rFonts w:ascii="Arial" w:hAnsi="Arial" w:cs="Arial"/>
                <w:sz w:val="16"/>
                <w:szCs w:val="16"/>
              </w:rPr>
              <w:t xml:space="preserve"> – niebędąca muzeum jednostka organizacyjna, nienastawiona na osiąganie zysku, której celem jest trwała ochrona dóbr kultury, nauki i techniki oraz przyrody, którą uznaje się za posiadającą charakter muzealny. Zgodnie z rekomendowaną przez UNESCO klasyfikacją Międzynarodowej Rady ds. Muzeów instytucją paramuzealną może być: ogród zoologiczny (wszystkie jego formy takie, jak akwaria, terraria itp.), ogród botaniczny, rezerwat przyrody, pomnik historii (zabytek) lub inna jednostka - m.in. planetarium, miasteczko czy centrum nauki i techniki, a także nie będąca muzeum ekspozycja stała ukazująca osiągnięcia, odkrycia i ciekawostki z dziedziny historii, archeologii, kultury, przyrody, techniki itp. (definicja GUS).</w:t>
            </w:r>
          </w:p>
          <w:p w:rsidR="00400464" w:rsidRPr="00400464" w:rsidRDefault="00400464" w:rsidP="00400464">
            <w:pPr>
              <w:shd w:val="clear" w:color="auto" w:fill="B2A1C7" w:themeFill="accent4" w:themeFillTint="99"/>
              <w:jc w:val="left"/>
              <w:cnfStyle w:val="000000010000"/>
              <w:rPr>
                <w:rFonts w:ascii="Arial" w:eastAsia="Times New Roman" w:hAnsi="Arial" w:cs="Arial"/>
                <w:b/>
                <w:i/>
                <w:sz w:val="16"/>
                <w:szCs w:val="16"/>
                <w:lang w:eastAsia="pl-PL"/>
              </w:rPr>
            </w:pPr>
            <w:r w:rsidRPr="00400464">
              <w:rPr>
                <w:rFonts w:ascii="Arial" w:eastAsia="Times New Roman" w:hAnsi="Arial" w:cs="Arial"/>
                <w:b/>
                <w:i/>
                <w:sz w:val="16"/>
                <w:szCs w:val="16"/>
                <w:lang w:eastAsia="pl-PL"/>
              </w:rPr>
              <w:t xml:space="preserve">Sposób pomiaru: </w:t>
            </w:r>
          </w:p>
          <w:p w:rsidR="00400464" w:rsidRPr="00400464" w:rsidRDefault="00400464" w:rsidP="00400464">
            <w:pPr>
              <w:pStyle w:val="Tabelatekst"/>
              <w:cnfStyle w:val="000000010000"/>
              <w:rPr>
                <w:rFonts w:cs="Arial"/>
                <w:color w:val="auto"/>
              </w:rPr>
            </w:pPr>
            <w:r>
              <w:rPr>
                <w:rFonts w:cs="Arial"/>
                <w:color w:val="auto"/>
              </w:rPr>
              <w:t>N</w:t>
            </w:r>
            <w:r w:rsidRPr="00400464">
              <w:rPr>
                <w:rFonts w:cs="Arial"/>
                <w:color w:val="auto"/>
              </w:rPr>
              <w:t>ależy zliczyć liczbę instytucji paramuzealnych, które otrzymały wsparcie na budowę, rozbudowę, modernizację obiektów lub zakup wyposażenia.</w:t>
            </w:r>
          </w:p>
          <w:p w:rsidR="00400464" w:rsidRPr="00400464" w:rsidRDefault="00400464" w:rsidP="00400464">
            <w:pPr>
              <w:jc w:val="left"/>
              <w:cnfStyle w:val="000000010000"/>
              <w:rPr>
                <w:rFonts w:ascii="Arial" w:hAnsi="Arial" w:cs="Arial"/>
                <w:b/>
                <w:sz w:val="16"/>
                <w:szCs w:val="16"/>
              </w:rPr>
            </w:pPr>
            <w:r w:rsidRPr="00400464">
              <w:rPr>
                <w:rFonts w:ascii="Arial" w:hAnsi="Arial" w:cs="Arial"/>
                <w:b/>
                <w:i/>
                <w:sz w:val="16"/>
                <w:szCs w:val="16"/>
              </w:rPr>
              <w:t>Moment pomiaru:</w:t>
            </w:r>
            <w:r w:rsidRPr="00400464">
              <w:rPr>
                <w:rFonts w:ascii="Arial" w:hAnsi="Arial" w:cs="Arial"/>
                <w:b/>
                <w:sz w:val="16"/>
                <w:szCs w:val="16"/>
              </w:rPr>
              <w:t xml:space="preserve"> </w:t>
            </w:r>
          </w:p>
          <w:p w:rsidR="00400464" w:rsidRPr="00400464" w:rsidRDefault="00400464" w:rsidP="00400464">
            <w:pPr>
              <w:jc w:val="left"/>
              <w:cnfStyle w:val="000000010000"/>
              <w:rPr>
                <w:rFonts w:ascii="Arial" w:hAnsi="Arial" w:cs="Arial"/>
                <w:sz w:val="16"/>
                <w:szCs w:val="16"/>
              </w:rPr>
            </w:pPr>
            <w:r>
              <w:rPr>
                <w:rFonts w:ascii="Arial" w:hAnsi="Arial" w:cs="Arial"/>
                <w:sz w:val="16"/>
                <w:szCs w:val="16"/>
              </w:rPr>
              <w:t>W</w:t>
            </w:r>
            <w:r w:rsidRPr="00400464">
              <w:rPr>
                <w:rFonts w:ascii="Arial" w:hAnsi="Arial" w:cs="Arial"/>
                <w:sz w:val="16"/>
                <w:szCs w:val="16"/>
              </w:rPr>
              <w:t xml:space="preserve"> okresie od podpisania umowy o dofinansowanie, przy czym osiągnięte wartości powinny zostać wykazane najpóźniej we wniosku o płatność końcową.</w:t>
            </w:r>
          </w:p>
          <w:p w:rsidR="00400464" w:rsidRPr="00400464" w:rsidRDefault="00400464" w:rsidP="00400464">
            <w:pPr>
              <w:shd w:val="clear" w:color="auto" w:fill="B2A1C7" w:themeFill="accent4" w:themeFillTint="99"/>
              <w:jc w:val="left"/>
              <w:cnfStyle w:val="000000010000"/>
              <w:rPr>
                <w:rFonts w:ascii="Arial" w:eastAsia="Times New Roman" w:hAnsi="Arial" w:cs="Arial"/>
                <w:b/>
                <w:i/>
                <w:sz w:val="16"/>
                <w:szCs w:val="16"/>
                <w:lang w:eastAsia="pl-PL"/>
              </w:rPr>
            </w:pPr>
            <w:r w:rsidRPr="00400464">
              <w:rPr>
                <w:rFonts w:ascii="Arial" w:eastAsia="Times New Roman" w:hAnsi="Arial" w:cs="Arial"/>
                <w:b/>
                <w:i/>
                <w:sz w:val="16"/>
                <w:szCs w:val="16"/>
                <w:lang w:eastAsia="pl-PL"/>
              </w:rPr>
              <w:t>Źródło:</w:t>
            </w:r>
          </w:p>
          <w:p w:rsidR="00400464" w:rsidRPr="00400464" w:rsidRDefault="00400464" w:rsidP="00400464">
            <w:pPr>
              <w:jc w:val="left"/>
              <w:cnfStyle w:val="000000010000"/>
              <w:rPr>
                <w:rFonts w:ascii="Arial" w:eastAsia="Times New Roman" w:hAnsi="Arial" w:cs="Arial"/>
                <w:sz w:val="16"/>
                <w:szCs w:val="16"/>
                <w:lang w:eastAsia="pl-PL"/>
              </w:rPr>
            </w:pPr>
            <w:r w:rsidRPr="00400464">
              <w:rPr>
                <w:rFonts w:ascii="Arial" w:hAnsi="Arial" w:cs="Arial"/>
                <w:sz w:val="16"/>
                <w:szCs w:val="16"/>
              </w:rPr>
              <w:t>Dane pozyskiwane bezpośrednio z dokumentacji projektu (typ beneficjenta / partnerów projektu).</w:t>
            </w:r>
          </w:p>
        </w:tc>
      </w:tr>
      <w:tr w:rsidR="00A50357" w:rsidRPr="009754D9" w:rsidTr="003E536A">
        <w:trPr>
          <w:cnfStyle w:val="000000100000"/>
          <w:trHeight w:val="570"/>
        </w:trPr>
        <w:tc>
          <w:tcPr>
            <w:cnfStyle w:val="001000000000"/>
            <w:tcW w:w="3030" w:type="dxa"/>
            <w:vAlign w:val="center"/>
          </w:tcPr>
          <w:p w:rsidR="00A50357" w:rsidRPr="009754D9" w:rsidRDefault="00A50357" w:rsidP="00A50357">
            <w:pPr>
              <w:jc w:val="left"/>
              <w:rPr>
                <w:rFonts w:ascii="Arial" w:eastAsia="Times New Roman" w:hAnsi="Arial" w:cs="Arial"/>
                <w:sz w:val="18"/>
                <w:szCs w:val="18"/>
                <w:lang w:eastAsia="pl-PL"/>
              </w:rPr>
            </w:pPr>
            <w:r w:rsidRPr="00A50357">
              <w:rPr>
                <w:rFonts w:ascii="Arial" w:eastAsia="Times New Roman" w:hAnsi="Arial" w:cs="Arial"/>
                <w:sz w:val="18"/>
                <w:szCs w:val="18"/>
                <w:lang w:eastAsia="pl-PL"/>
              </w:rPr>
              <w:t>Liczba wspartych obiektów w miejscach dziedzictwa naturalnego</w:t>
            </w:r>
          </w:p>
        </w:tc>
        <w:tc>
          <w:tcPr>
            <w:tcW w:w="1107" w:type="dxa"/>
            <w:vAlign w:val="center"/>
          </w:tcPr>
          <w:p w:rsidR="00A50357" w:rsidRPr="009754D9" w:rsidRDefault="00A50357" w:rsidP="00A50357">
            <w:pPr>
              <w:jc w:val="left"/>
              <w:cnfStyle w:val="000000100000"/>
              <w:rPr>
                <w:rFonts w:ascii="Arial" w:eastAsia="Times New Roman" w:hAnsi="Arial" w:cs="Arial"/>
                <w:sz w:val="18"/>
                <w:szCs w:val="18"/>
                <w:lang w:eastAsia="pl-PL"/>
              </w:rPr>
            </w:pPr>
            <w:r>
              <w:rPr>
                <w:rFonts w:ascii="Arial" w:eastAsia="Times New Roman" w:hAnsi="Arial" w:cs="Arial"/>
                <w:sz w:val="18"/>
                <w:szCs w:val="18"/>
                <w:lang w:eastAsia="pl-PL"/>
              </w:rPr>
              <w:t>szt.</w:t>
            </w:r>
          </w:p>
        </w:tc>
        <w:tc>
          <w:tcPr>
            <w:tcW w:w="1197" w:type="dxa"/>
            <w:vAlign w:val="center"/>
          </w:tcPr>
          <w:p w:rsidR="00A50357" w:rsidRPr="009754D9" w:rsidRDefault="00A50357" w:rsidP="00A50357">
            <w:pPr>
              <w:jc w:val="left"/>
              <w:cnfStyle w:val="000000100000"/>
              <w:rPr>
                <w:rFonts w:ascii="Arial" w:eastAsia="Times New Roman" w:hAnsi="Arial" w:cs="Arial"/>
                <w:sz w:val="18"/>
                <w:szCs w:val="18"/>
                <w:lang w:eastAsia="pl-PL"/>
              </w:rPr>
            </w:pPr>
            <w:r>
              <w:rPr>
                <w:rFonts w:ascii="Arial" w:eastAsia="Times New Roman" w:hAnsi="Arial" w:cs="Arial"/>
                <w:sz w:val="18"/>
                <w:szCs w:val="18"/>
                <w:lang w:eastAsia="pl-PL"/>
              </w:rPr>
              <w:t>produkt</w:t>
            </w:r>
          </w:p>
        </w:tc>
        <w:tc>
          <w:tcPr>
            <w:tcW w:w="1043" w:type="dxa"/>
            <w:vAlign w:val="center"/>
          </w:tcPr>
          <w:p w:rsidR="00A50357" w:rsidRPr="009754D9" w:rsidRDefault="00427D47" w:rsidP="00A50357">
            <w:pPr>
              <w:jc w:val="left"/>
              <w:cnfStyle w:val="000000100000"/>
              <w:rPr>
                <w:rFonts w:ascii="Arial" w:eastAsia="Times New Roman" w:hAnsi="Arial" w:cs="Arial"/>
                <w:sz w:val="18"/>
                <w:szCs w:val="18"/>
                <w:lang w:eastAsia="pl-PL"/>
              </w:rPr>
            </w:pPr>
            <w:r>
              <w:rPr>
                <w:rFonts w:ascii="Arial" w:eastAsia="Times New Roman" w:hAnsi="Arial" w:cs="Arial"/>
                <w:sz w:val="18"/>
                <w:szCs w:val="18"/>
                <w:lang w:eastAsia="pl-PL"/>
              </w:rPr>
              <w:t>programowy - specyficzny</w:t>
            </w:r>
          </w:p>
        </w:tc>
        <w:tc>
          <w:tcPr>
            <w:tcW w:w="964" w:type="dxa"/>
            <w:vAlign w:val="center"/>
          </w:tcPr>
          <w:p w:rsidR="00A50357" w:rsidRPr="009754D9" w:rsidRDefault="00427D47" w:rsidP="00A50357">
            <w:pPr>
              <w:jc w:val="left"/>
              <w:cnfStyle w:val="000000100000"/>
              <w:rPr>
                <w:rFonts w:ascii="Arial" w:eastAsia="Times New Roman" w:hAnsi="Arial" w:cs="Arial"/>
                <w:sz w:val="18"/>
                <w:szCs w:val="18"/>
                <w:lang w:eastAsia="pl-PL"/>
              </w:rPr>
            </w:pPr>
            <w:r>
              <w:rPr>
                <w:rFonts w:ascii="Arial" w:eastAsia="Times New Roman" w:hAnsi="Arial" w:cs="Arial"/>
                <w:sz w:val="18"/>
                <w:szCs w:val="18"/>
                <w:lang w:eastAsia="pl-PL"/>
              </w:rPr>
              <w:t xml:space="preserve">program, </w:t>
            </w:r>
            <w:r w:rsidR="00A50357" w:rsidRPr="009754D9">
              <w:rPr>
                <w:rFonts w:ascii="Arial" w:eastAsia="Times New Roman" w:hAnsi="Arial" w:cs="Arial"/>
                <w:sz w:val="18"/>
                <w:szCs w:val="18"/>
                <w:lang w:eastAsia="pl-PL"/>
              </w:rPr>
              <w:t>projekt</w:t>
            </w:r>
          </w:p>
        </w:tc>
        <w:tc>
          <w:tcPr>
            <w:tcW w:w="1287" w:type="dxa"/>
            <w:vAlign w:val="center"/>
          </w:tcPr>
          <w:p w:rsidR="00A50357" w:rsidRPr="009754D9" w:rsidRDefault="00A50357" w:rsidP="00A50357">
            <w:pPr>
              <w:jc w:val="left"/>
              <w:cnfStyle w:val="000000100000"/>
              <w:rPr>
                <w:rFonts w:ascii="Arial" w:eastAsia="Times New Roman" w:hAnsi="Arial" w:cs="Arial"/>
                <w:sz w:val="18"/>
                <w:szCs w:val="18"/>
                <w:lang w:eastAsia="pl-PL"/>
              </w:rPr>
            </w:pPr>
            <w:r w:rsidRPr="009754D9">
              <w:rPr>
                <w:rFonts w:ascii="Arial" w:eastAsia="Times New Roman" w:hAnsi="Arial" w:cs="Arial"/>
                <w:sz w:val="18"/>
                <w:szCs w:val="18"/>
                <w:lang w:eastAsia="pl-PL"/>
              </w:rPr>
              <w:t>rozliczeniowy</w:t>
            </w:r>
          </w:p>
        </w:tc>
        <w:tc>
          <w:tcPr>
            <w:tcW w:w="1261" w:type="dxa"/>
            <w:vAlign w:val="center"/>
          </w:tcPr>
          <w:p w:rsidR="00A50357" w:rsidRPr="009754D9" w:rsidRDefault="00400464" w:rsidP="00A50357">
            <w:pPr>
              <w:jc w:val="left"/>
              <w:cnfStyle w:val="000000100000"/>
              <w:rPr>
                <w:rFonts w:ascii="Arial" w:eastAsia="Times New Roman" w:hAnsi="Arial" w:cs="Arial"/>
                <w:sz w:val="18"/>
                <w:szCs w:val="18"/>
                <w:lang w:eastAsia="pl-PL"/>
              </w:rPr>
            </w:pPr>
            <w:r>
              <w:rPr>
                <w:rFonts w:ascii="Arial" w:eastAsia="Times New Roman" w:hAnsi="Arial" w:cs="Arial"/>
                <w:sz w:val="18"/>
                <w:szCs w:val="18"/>
                <w:lang w:eastAsia="pl-PL"/>
              </w:rPr>
              <w:t>TAK</w:t>
            </w:r>
            <w:bookmarkStart w:id="0" w:name="_GoBack"/>
            <w:bookmarkEnd w:id="0"/>
          </w:p>
        </w:tc>
        <w:tc>
          <w:tcPr>
            <w:tcW w:w="4253" w:type="dxa"/>
          </w:tcPr>
          <w:p w:rsidR="00A50357" w:rsidRPr="00400464" w:rsidRDefault="00400464" w:rsidP="00400464">
            <w:pPr>
              <w:shd w:val="clear" w:color="auto" w:fill="B2A1C7" w:themeFill="accent4" w:themeFillTint="99"/>
              <w:jc w:val="left"/>
              <w:cnfStyle w:val="000000100000"/>
              <w:rPr>
                <w:rFonts w:ascii="Arial" w:eastAsia="Times New Roman" w:hAnsi="Arial" w:cs="Arial"/>
                <w:b/>
                <w:i/>
                <w:sz w:val="16"/>
                <w:szCs w:val="16"/>
                <w:lang w:eastAsia="pl-PL"/>
              </w:rPr>
            </w:pPr>
            <w:r w:rsidRPr="00400464">
              <w:rPr>
                <w:rFonts w:ascii="Arial" w:eastAsia="Times New Roman" w:hAnsi="Arial" w:cs="Arial"/>
                <w:b/>
                <w:i/>
                <w:sz w:val="16"/>
                <w:szCs w:val="16"/>
                <w:lang w:eastAsia="pl-PL"/>
              </w:rPr>
              <w:t>Definicja:</w:t>
            </w:r>
          </w:p>
          <w:p w:rsidR="00400464" w:rsidRPr="00400464" w:rsidRDefault="00400464" w:rsidP="00400464">
            <w:pPr>
              <w:pStyle w:val="Tabelatekst"/>
              <w:cnfStyle w:val="000000100000"/>
              <w:rPr>
                <w:rFonts w:cs="Arial"/>
                <w:color w:val="auto"/>
              </w:rPr>
            </w:pPr>
            <w:r w:rsidRPr="00400464">
              <w:rPr>
                <w:rFonts w:cs="Arial"/>
                <w:color w:val="auto"/>
              </w:rPr>
              <w:t xml:space="preserve">Wskaźnik mierzy liczbę obiektów w miejscach dziedzictwa naturalnego, które zostały zrewitalizowane, zachowane, zabezpieczone na wypadek zagrożeń, poddane konserwacji, renowacji, restauracji lub </w:t>
            </w:r>
            <w:r w:rsidRPr="00400464">
              <w:rPr>
                <w:rFonts w:cs="Arial"/>
                <w:color w:val="auto"/>
              </w:rPr>
              <w:lastRenderedPageBreak/>
              <w:t xml:space="preserve">wyposażone. </w:t>
            </w:r>
          </w:p>
          <w:p w:rsidR="00400464" w:rsidRPr="00400464" w:rsidRDefault="00400464" w:rsidP="00400464">
            <w:pPr>
              <w:pStyle w:val="Tabelatekst"/>
              <w:cnfStyle w:val="000000100000"/>
              <w:rPr>
                <w:rFonts w:cs="Arial"/>
                <w:color w:val="auto"/>
              </w:rPr>
            </w:pPr>
            <w:r w:rsidRPr="00400464">
              <w:rPr>
                <w:rFonts w:cs="Arial"/>
                <w:i/>
                <w:color w:val="auto"/>
              </w:rPr>
              <w:t>Dziedzictwo naturalne</w:t>
            </w:r>
            <w:r w:rsidRPr="00400464">
              <w:rPr>
                <w:rFonts w:cs="Arial"/>
                <w:color w:val="auto"/>
              </w:rPr>
              <w:t xml:space="preserve"> – pomniki przyrody – utworzone przez formacje biologiczne lub fizyczne, przedstawiające wyjątkową powszechną wartość estetyczną lub naukową; formacje geologiczne i fizjograficzne stanowiące siedlisko zagrożonych zagładą gatunków zwierząt i roślin, mające wyjątkową powszechną wartość z punktu widzenia nauki lub ich zachowania; miejsca lub strefy o ściśle zaznaczonych granicach, mające wyjątkową powszechną wartość z punktu widzenia nauki lub zachowania naturalnego piękna (Konwencja o ochronie światowego dziedzictwa kulturowego i naturalnego, Paryż, 16 listopada 1972 r.)</w:t>
            </w:r>
          </w:p>
          <w:p w:rsidR="00400464" w:rsidRPr="00400464" w:rsidRDefault="00400464" w:rsidP="00400464">
            <w:pPr>
              <w:pStyle w:val="Tabelatekst"/>
              <w:cnfStyle w:val="000000100000"/>
              <w:rPr>
                <w:rFonts w:cs="Arial"/>
                <w:color w:val="auto"/>
              </w:rPr>
            </w:pPr>
            <w:r w:rsidRPr="00400464">
              <w:rPr>
                <w:rFonts w:cs="Arial"/>
                <w:i/>
                <w:color w:val="auto"/>
              </w:rPr>
              <w:t>Obiekt</w:t>
            </w:r>
            <w:r w:rsidRPr="00400464">
              <w:rPr>
                <w:rFonts w:cs="Arial"/>
                <w:color w:val="auto"/>
              </w:rPr>
              <w:t xml:space="preserve"> – obiekt budowlany w rozumieniu prawa budowlanego (por. poniżej). </w:t>
            </w:r>
          </w:p>
          <w:p w:rsidR="00400464" w:rsidRPr="00400464" w:rsidRDefault="00400464" w:rsidP="00400464">
            <w:pPr>
              <w:pStyle w:val="Tabelatekst"/>
              <w:cnfStyle w:val="000000100000"/>
              <w:rPr>
                <w:rFonts w:cs="Arial"/>
                <w:color w:val="auto"/>
              </w:rPr>
            </w:pPr>
            <w:r w:rsidRPr="00400464">
              <w:rPr>
                <w:rFonts w:cs="Arial"/>
                <w:i/>
                <w:color w:val="auto"/>
              </w:rPr>
              <w:t>Obiekt budowlany</w:t>
            </w:r>
            <w:r w:rsidRPr="00400464">
              <w:rPr>
                <w:rFonts w:cs="Arial"/>
                <w:color w:val="auto"/>
              </w:rPr>
              <w:t xml:space="preserve"> – budynek, budowla bądź obiekt małej architektury, wraz z instalacjami zapewniającymi możliwość użytkowania obiektu zgodnie z jego przeznaczeniem, wzniesiony z użyciem wyrobów budowlanych.</w:t>
            </w:r>
          </w:p>
          <w:p w:rsidR="00400464" w:rsidRPr="00400464" w:rsidRDefault="00400464" w:rsidP="00400464">
            <w:pPr>
              <w:pStyle w:val="Tabelatekst"/>
              <w:cnfStyle w:val="000000100000"/>
              <w:rPr>
                <w:rFonts w:cs="Arial"/>
                <w:color w:val="auto"/>
              </w:rPr>
            </w:pPr>
            <w:r w:rsidRPr="00400464">
              <w:rPr>
                <w:rFonts w:cs="Arial"/>
                <w:i/>
                <w:color w:val="auto"/>
              </w:rPr>
              <w:t>Budynek</w:t>
            </w:r>
            <w:r w:rsidRPr="00400464">
              <w:rPr>
                <w:rFonts w:cs="Arial"/>
                <w:color w:val="auto"/>
              </w:rPr>
              <w:t xml:space="preserve"> – obiekt budowlany trwale związany z gruntem, wydzielony z przestrzeni za pomocą przegród budowlanych oraz posiadający fundamenty i dach.</w:t>
            </w:r>
          </w:p>
          <w:p w:rsidR="00400464" w:rsidRPr="00400464" w:rsidRDefault="00400464" w:rsidP="00400464">
            <w:pPr>
              <w:pStyle w:val="Tabelatekst"/>
              <w:cnfStyle w:val="000000100000"/>
              <w:rPr>
                <w:rFonts w:cs="Arial"/>
                <w:color w:val="auto"/>
              </w:rPr>
            </w:pPr>
            <w:r w:rsidRPr="00400464">
              <w:rPr>
                <w:rFonts w:cs="Arial"/>
                <w:i/>
                <w:color w:val="auto"/>
              </w:rPr>
              <w:t>Obiekt małej architektury</w:t>
            </w:r>
            <w:r w:rsidRPr="00400464">
              <w:rPr>
                <w:rFonts w:cs="Arial"/>
                <w:color w:val="auto"/>
              </w:rPr>
              <w:t xml:space="preserve"> – niewielkie obiekty, a w szczególności: a) kultu religijnego, jak: kapliczki, krzyże przydrożne, figury, b) posągi, wodotryski i inne obiekty architektury ogrodowej, c) użytkowe służące rekreacji codziennej i utrzymaniu porządku, jak: piaskownice, huśtawki, drabinki, śmietniki.</w:t>
            </w:r>
          </w:p>
          <w:p w:rsidR="00400464" w:rsidRPr="00400464" w:rsidRDefault="00400464" w:rsidP="00400464">
            <w:pPr>
              <w:jc w:val="left"/>
              <w:cnfStyle w:val="000000100000"/>
              <w:rPr>
                <w:rFonts w:ascii="Arial" w:hAnsi="Arial" w:cs="Arial"/>
                <w:sz w:val="16"/>
                <w:szCs w:val="16"/>
              </w:rPr>
            </w:pPr>
            <w:r w:rsidRPr="00400464">
              <w:rPr>
                <w:rFonts w:ascii="Arial" w:hAnsi="Arial" w:cs="Arial"/>
                <w:i/>
                <w:sz w:val="16"/>
                <w:szCs w:val="16"/>
              </w:rPr>
              <w:t>Budowla</w:t>
            </w:r>
            <w:r w:rsidRPr="00400464">
              <w:rPr>
                <w:rFonts w:ascii="Arial" w:hAnsi="Arial" w:cs="Arial"/>
                <w:sz w:val="16"/>
                <w:szCs w:val="16"/>
              </w:rPr>
              <w:t xml:space="preserve"> – każdy obiekt budowlany niebędący budynkiem lub obiektem małej architektury.</w:t>
            </w:r>
          </w:p>
          <w:p w:rsidR="00400464" w:rsidRPr="00400464" w:rsidRDefault="00400464" w:rsidP="00400464">
            <w:pPr>
              <w:pStyle w:val="Tabelatekst"/>
              <w:shd w:val="clear" w:color="auto" w:fill="B2A1C7" w:themeFill="accent4" w:themeFillTint="99"/>
              <w:cnfStyle w:val="000000100000"/>
              <w:rPr>
                <w:rFonts w:cs="Arial"/>
                <w:b/>
                <w:color w:val="auto"/>
              </w:rPr>
            </w:pPr>
            <w:r w:rsidRPr="00400464">
              <w:rPr>
                <w:rFonts w:cs="Arial"/>
                <w:b/>
                <w:i/>
                <w:color w:val="auto"/>
              </w:rPr>
              <w:t>Sposób pomiaru:</w:t>
            </w:r>
            <w:r w:rsidRPr="00400464">
              <w:rPr>
                <w:rFonts w:cs="Arial"/>
                <w:b/>
                <w:color w:val="auto"/>
              </w:rPr>
              <w:t xml:space="preserve"> </w:t>
            </w:r>
          </w:p>
          <w:p w:rsidR="00400464" w:rsidRPr="00400464" w:rsidRDefault="00400464" w:rsidP="00400464">
            <w:pPr>
              <w:pStyle w:val="Tabelatekst"/>
              <w:cnfStyle w:val="000000100000"/>
              <w:rPr>
                <w:rFonts w:cs="Arial"/>
                <w:color w:val="auto"/>
              </w:rPr>
            </w:pPr>
            <w:r>
              <w:rPr>
                <w:rFonts w:cs="Arial"/>
                <w:color w:val="auto"/>
              </w:rPr>
              <w:t>N</w:t>
            </w:r>
            <w:r w:rsidRPr="00400464">
              <w:rPr>
                <w:rFonts w:cs="Arial"/>
                <w:color w:val="auto"/>
              </w:rPr>
              <w:t>ależy zliczyć liczbę obiektów budowlanych (budynków, budowli, obiektów małej infrastruktury), które zostały zrewitalizowane, zachowane, zabezpieczone na wypadek zagrożeń, poddane konserwacji, renowacji, restauracji lub wyposażone.</w:t>
            </w:r>
          </w:p>
          <w:p w:rsidR="00400464" w:rsidRPr="00400464" w:rsidRDefault="00400464" w:rsidP="00400464">
            <w:pPr>
              <w:pStyle w:val="Tabelatekst"/>
              <w:cnfStyle w:val="000000100000"/>
              <w:rPr>
                <w:rFonts w:cs="Arial"/>
                <w:b/>
                <w:color w:val="auto"/>
              </w:rPr>
            </w:pPr>
            <w:r w:rsidRPr="00400464">
              <w:rPr>
                <w:rFonts w:cs="Arial"/>
                <w:b/>
                <w:i/>
                <w:color w:val="auto"/>
              </w:rPr>
              <w:t>Szczególne przypadki podczas pomiaru:</w:t>
            </w:r>
            <w:r w:rsidRPr="00400464">
              <w:rPr>
                <w:rFonts w:cs="Arial"/>
                <w:b/>
                <w:color w:val="auto"/>
              </w:rPr>
              <w:t xml:space="preserve"> </w:t>
            </w:r>
          </w:p>
          <w:p w:rsidR="00400464" w:rsidRPr="00400464" w:rsidRDefault="00400464" w:rsidP="00400464">
            <w:pPr>
              <w:pStyle w:val="Tabelatekst"/>
              <w:numPr>
                <w:ilvl w:val="0"/>
                <w:numId w:val="1"/>
              </w:numPr>
              <w:ind w:left="198" w:hanging="141"/>
              <w:cnfStyle w:val="000000100000"/>
              <w:rPr>
                <w:rFonts w:cs="Arial"/>
                <w:color w:val="auto"/>
              </w:rPr>
            </w:pPr>
            <w:r w:rsidRPr="00400464">
              <w:rPr>
                <w:rFonts w:cs="Arial"/>
                <w:color w:val="auto"/>
              </w:rPr>
              <w:t>nie należy wliczać obiektów małej architektury służących codziennej rekreacji i utrzymaniu porządku (pkt c definicji).</w:t>
            </w:r>
          </w:p>
          <w:p w:rsidR="00400464" w:rsidRPr="00400464" w:rsidRDefault="00400464" w:rsidP="00400464">
            <w:pPr>
              <w:jc w:val="left"/>
              <w:cnfStyle w:val="000000100000"/>
              <w:rPr>
                <w:rFonts w:ascii="Arial" w:hAnsi="Arial" w:cs="Arial"/>
                <w:b/>
                <w:sz w:val="16"/>
                <w:szCs w:val="16"/>
              </w:rPr>
            </w:pPr>
            <w:r w:rsidRPr="00400464">
              <w:rPr>
                <w:rFonts w:ascii="Arial" w:hAnsi="Arial" w:cs="Arial"/>
                <w:b/>
                <w:i/>
                <w:sz w:val="16"/>
                <w:szCs w:val="16"/>
              </w:rPr>
              <w:t>Moment pomiaru:</w:t>
            </w:r>
            <w:r w:rsidRPr="00400464">
              <w:rPr>
                <w:rFonts w:ascii="Arial" w:hAnsi="Arial" w:cs="Arial"/>
                <w:b/>
                <w:sz w:val="16"/>
                <w:szCs w:val="16"/>
              </w:rPr>
              <w:t xml:space="preserve"> </w:t>
            </w:r>
          </w:p>
          <w:p w:rsidR="00400464" w:rsidRPr="00400464" w:rsidRDefault="00400464" w:rsidP="00400464">
            <w:pPr>
              <w:jc w:val="left"/>
              <w:cnfStyle w:val="000000100000"/>
              <w:rPr>
                <w:rFonts w:ascii="Arial" w:hAnsi="Arial" w:cs="Arial"/>
                <w:sz w:val="16"/>
                <w:szCs w:val="16"/>
              </w:rPr>
            </w:pPr>
            <w:r>
              <w:rPr>
                <w:rFonts w:ascii="Arial" w:hAnsi="Arial" w:cs="Arial"/>
                <w:sz w:val="16"/>
                <w:szCs w:val="16"/>
              </w:rPr>
              <w:t>W</w:t>
            </w:r>
            <w:r w:rsidRPr="00400464">
              <w:rPr>
                <w:rFonts w:ascii="Arial" w:hAnsi="Arial" w:cs="Arial"/>
                <w:sz w:val="16"/>
                <w:szCs w:val="16"/>
              </w:rPr>
              <w:t xml:space="preserve"> okresie od podpisania umowy o dofinansowanie, przy czym osiągnięte wartości powinny zostać wykazane </w:t>
            </w:r>
            <w:r w:rsidRPr="00400464">
              <w:rPr>
                <w:rFonts w:ascii="Arial" w:hAnsi="Arial" w:cs="Arial"/>
                <w:sz w:val="16"/>
                <w:szCs w:val="16"/>
              </w:rPr>
              <w:lastRenderedPageBreak/>
              <w:t>najpóźniej we wniosku o płatność końcową.</w:t>
            </w:r>
          </w:p>
          <w:p w:rsidR="00400464" w:rsidRPr="00400464" w:rsidRDefault="00400464" w:rsidP="00400464">
            <w:pPr>
              <w:shd w:val="clear" w:color="auto" w:fill="B2A1C7" w:themeFill="accent4" w:themeFillTint="99"/>
              <w:jc w:val="left"/>
              <w:cnfStyle w:val="000000100000"/>
              <w:rPr>
                <w:rFonts w:ascii="Arial" w:hAnsi="Arial" w:cs="Arial"/>
                <w:b/>
                <w:i/>
                <w:sz w:val="16"/>
                <w:szCs w:val="16"/>
              </w:rPr>
            </w:pPr>
            <w:r w:rsidRPr="00400464">
              <w:rPr>
                <w:rFonts w:ascii="Arial" w:hAnsi="Arial" w:cs="Arial"/>
                <w:b/>
                <w:i/>
                <w:sz w:val="16"/>
                <w:szCs w:val="16"/>
              </w:rPr>
              <w:t>Źródło:</w:t>
            </w:r>
          </w:p>
          <w:p w:rsidR="00400464" w:rsidRPr="00400464" w:rsidRDefault="00400464" w:rsidP="00400464">
            <w:pPr>
              <w:jc w:val="left"/>
              <w:cnfStyle w:val="000000100000"/>
              <w:rPr>
                <w:rFonts w:ascii="Arial" w:eastAsia="Times New Roman" w:hAnsi="Arial" w:cs="Arial"/>
                <w:sz w:val="16"/>
                <w:szCs w:val="16"/>
                <w:lang w:eastAsia="pl-PL"/>
              </w:rPr>
            </w:pPr>
            <w:r w:rsidRPr="00400464">
              <w:rPr>
                <w:rFonts w:ascii="Arial" w:hAnsi="Arial" w:cs="Arial"/>
                <w:sz w:val="16"/>
                <w:szCs w:val="16"/>
              </w:rPr>
              <w:t>Dane pozyskiwane z protokołów odbioru konkretnych robót ze wskazaniem danego obiektu. W przypadku zakupu wyposażenia, źródłem informacji jest dokument zakupu wyposażenia oraz protokół przyjęcia środków trwałych na stan (ewidencja środków trwałych).</w:t>
            </w:r>
          </w:p>
        </w:tc>
      </w:tr>
      <w:tr w:rsidR="00A50357" w:rsidRPr="00EE7540" w:rsidTr="003E536A">
        <w:trPr>
          <w:cnfStyle w:val="000000010000"/>
          <w:trHeight w:val="585"/>
        </w:trPr>
        <w:tc>
          <w:tcPr>
            <w:cnfStyle w:val="001000000000"/>
            <w:tcW w:w="3030" w:type="dxa"/>
            <w:vAlign w:val="center"/>
          </w:tcPr>
          <w:p w:rsidR="00A50357" w:rsidRPr="009754D9" w:rsidRDefault="00A50357" w:rsidP="00A50357">
            <w:pPr>
              <w:jc w:val="left"/>
              <w:rPr>
                <w:rFonts w:ascii="Arial" w:hAnsi="Arial" w:cs="Arial"/>
                <w:sz w:val="18"/>
                <w:szCs w:val="18"/>
              </w:rPr>
            </w:pPr>
            <w:r w:rsidRPr="009754D9">
              <w:rPr>
                <w:rFonts w:ascii="Arial" w:hAnsi="Arial" w:cs="Arial"/>
                <w:sz w:val="18"/>
                <w:szCs w:val="18"/>
              </w:rPr>
              <w:lastRenderedPageBreak/>
              <w:t>Liczba obiektów dostosowanych do potrzeb osób z niepełnosprawnościami</w:t>
            </w:r>
          </w:p>
        </w:tc>
        <w:tc>
          <w:tcPr>
            <w:tcW w:w="1107" w:type="dxa"/>
            <w:vAlign w:val="center"/>
          </w:tcPr>
          <w:p w:rsidR="00A50357" w:rsidRPr="009754D9" w:rsidRDefault="00A50357" w:rsidP="00A50357">
            <w:pPr>
              <w:jc w:val="left"/>
              <w:cnfStyle w:val="000000010000"/>
              <w:rPr>
                <w:rFonts w:ascii="Arial" w:hAnsi="Arial" w:cs="Arial"/>
                <w:sz w:val="18"/>
                <w:szCs w:val="18"/>
              </w:rPr>
            </w:pPr>
            <w:r w:rsidRPr="009754D9">
              <w:rPr>
                <w:rFonts w:ascii="Arial" w:hAnsi="Arial" w:cs="Arial"/>
                <w:sz w:val="18"/>
                <w:szCs w:val="18"/>
              </w:rPr>
              <w:t>szt.</w:t>
            </w:r>
          </w:p>
        </w:tc>
        <w:tc>
          <w:tcPr>
            <w:tcW w:w="1197" w:type="dxa"/>
            <w:vAlign w:val="center"/>
          </w:tcPr>
          <w:p w:rsidR="00A50357" w:rsidRPr="009754D9" w:rsidRDefault="00A50357" w:rsidP="00A50357">
            <w:pPr>
              <w:jc w:val="left"/>
              <w:cnfStyle w:val="000000010000"/>
              <w:rPr>
                <w:rFonts w:ascii="Arial" w:eastAsia="Times New Roman" w:hAnsi="Arial" w:cs="Arial"/>
                <w:sz w:val="18"/>
                <w:szCs w:val="18"/>
                <w:lang w:eastAsia="pl-PL"/>
              </w:rPr>
            </w:pPr>
            <w:r w:rsidRPr="009754D9">
              <w:rPr>
                <w:rFonts w:ascii="Arial" w:eastAsia="Times New Roman" w:hAnsi="Arial" w:cs="Arial"/>
                <w:sz w:val="18"/>
                <w:szCs w:val="18"/>
                <w:lang w:eastAsia="pl-PL"/>
              </w:rPr>
              <w:t>produkt</w:t>
            </w:r>
          </w:p>
        </w:tc>
        <w:tc>
          <w:tcPr>
            <w:tcW w:w="1043" w:type="dxa"/>
            <w:vAlign w:val="center"/>
          </w:tcPr>
          <w:p w:rsidR="00A50357" w:rsidRPr="009754D9" w:rsidRDefault="00A50357" w:rsidP="00A50357">
            <w:pPr>
              <w:jc w:val="left"/>
              <w:cnfStyle w:val="000000010000"/>
              <w:rPr>
                <w:rFonts w:ascii="Arial" w:eastAsia="Times New Roman" w:hAnsi="Arial" w:cs="Arial"/>
                <w:sz w:val="18"/>
                <w:szCs w:val="18"/>
                <w:lang w:eastAsia="pl-PL"/>
              </w:rPr>
            </w:pPr>
            <w:r w:rsidRPr="009754D9">
              <w:rPr>
                <w:rFonts w:ascii="Arial" w:eastAsia="Times New Roman" w:hAnsi="Arial" w:cs="Arial"/>
                <w:sz w:val="18"/>
                <w:szCs w:val="18"/>
                <w:lang w:eastAsia="pl-PL"/>
              </w:rPr>
              <w:t>kluczowy - krajowy</w:t>
            </w:r>
          </w:p>
        </w:tc>
        <w:tc>
          <w:tcPr>
            <w:tcW w:w="964" w:type="dxa"/>
            <w:vAlign w:val="center"/>
          </w:tcPr>
          <w:p w:rsidR="00A50357" w:rsidRPr="009754D9" w:rsidRDefault="00A50357" w:rsidP="00A50357">
            <w:pPr>
              <w:jc w:val="left"/>
              <w:cnfStyle w:val="000000010000"/>
              <w:rPr>
                <w:rFonts w:ascii="Arial" w:eastAsia="Times New Roman" w:hAnsi="Arial" w:cs="Arial"/>
                <w:sz w:val="18"/>
                <w:szCs w:val="18"/>
                <w:lang w:eastAsia="pl-PL"/>
              </w:rPr>
            </w:pPr>
            <w:r w:rsidRPr="009754D9">
              <w:rPr>
                <w:rFonts w:ascii="Arial" w:eastAsia="Times New Roman" w:hAnsi="Arial" w:cs="Arial"/>
                <w:sz w:val="18"/>
                <w:szCs w:val="18"/>
                <w:lang w:eastAsia="pl-PL"/>
              </w:rPr>
              <w:t>projekt</w:t>
            </w:r>
          </w:p>
        </w:tc>
        <w:tc>
          <w:tcPr>
            <w:tcW w:w="1287" w:type="dxa"/>
            <w:vAlign w:val="center"/>
          </w:tcPr>
          <w:p w:rsidR="00A50357" w:rsidRPr="009754D9" w:rsidRDefault="00A50357" w:rsidP="00A50357">
            <w:pPr>
              <w:jc w:val="left"/>
              <w:cnfStyle w:val="000000010000"/>
              <w:rPr>
                <w:rFonts w:ascii="Arial" w:eastAsia="Times New Roman" w:hAnsi="Arial" w:cs="Arial"/>
                <w:sz w:val="18"/>
                <w:szCs w:val="18"/>
                <w:lang w:eastAsia="pl-PL"/>
              </w:rPr>
            </w:pPr>
            <w:r>
              <w:rPr>
                <w:rFonts w:ascii="Arial" w:eastAsia="Times New Roman" w:hAnsi="Arial" w:cs="Arial"/>
                <w:sz w:val="18"/>
                <w:szCs w:val="18"/>
                <w:lang w:eastAsia="pl-PL"/>
              </w:rPr>
              <w:t>rozliczeniowy</w:t>
            </w:r>
          </w:p>
        </w:tc>
        <w:tc>
          <w:tcPr>
            <w:tcW w:w="1261" w:type="dxa"/>
            <w:vAlign w:val="center"/>
          </w:tcPr>
          <w:p w:rsidR="00A50357" w:rsidRPr="009754D9" w:rsidRDefault="00A50357" w:rsidP="00A50357">
            <w:pPr>
              <w:jc w:val="left"/>
              <w:cnfStyle w:val="000000010000"/>
              <w:rPr>
                <w:rFonts w:ascii="Arial" w:eastAsia="Times New Roman" w:hAnsi="Arial" w:cs="Arial"/>
                <w:sz w:val="18"/>
                <w:szCs w:val="18"/>
                <w:lang w:eastAsia="pl-PL"/>
              </w:rPr>
            </w:pPr>
          </w:p>
        </w:tc>
        <w:tc>
          <w:tcPr>
            <w:tcW w:w="4253" w:type="dxa"/>
          </w:tcPr>
          <w:p w:rsidR="00A50357" w:rsidRPr="00400464" w:rsidRDefault="00400464" w:rsidP="00400464">
            <w:pPr>
              <w:shd w:val="clear" w:color="auto" w:fill="B2A1C7" w:themeFill="accent4" w:themeFillTint="99"/>
              <w:jc w:val="left"/>
              <w:cnfStyle w:val="000000010000"/>
              <w:rPr>
                <w:rFonts w:ascii="Arial" w:eastAsia="Times New Roman" w:hAnsi="Arial" w:cs="Arial"/>
                <w:b/>
                <w:i/>
                <w:sz w:val="16"/>
                <w:szCs w:val="16"/>
                <w:lang w:eastAsia="pl-PL"/>
              </w:rPr>
            </w:pPr>
            <w:r w:rsidRPr="00400464">
              <w:rPr>
                <w:rFonts w:ascii="Arial" w:eastAsia="Times New Roman" w:hAnsi="Arial" w:cs="Arial"/>
                <w:b/>
                <w:i/>
                <w:sz w:val="16"/>
                <w:szCs w:val="16"/>
                <w:lang w:eastAsia="pl-PL"/>
              </w:rPr>
              <w:t>Definicja:</w:t>
            </w:r>
          </w:p>
          <w:p w:rsidR="00400464" w:rsidRPr="00400464" w:rsidRDefault="00400464" w:rsidP="00400464">
            <w:pPr>
              <w:pStyle w:val="Tabelatekst"/>
              <w:cnfStyle w:val="000000010000"/>
              <w:rPr>
                <w:rFonts w:cs="Arial"/>
                <w:color w:val="auto"/>
              </w:rPr>
            </w:pPr>
            <w:r w:rsidRPr="00400464">
              <w:rPr>
                <w:rFonts w:cs="Arial"/>
                <w:color w:val="auto"/>
              </w:rPr>
              <w:t>Wskaźnik mierzy liczbę obiektów, które zaopatrzono w specjalne podjazdy, windy, urządzenia głośnomówiące, bądź inne udogodnienia (tj. usunięcie barier w dostępie, w szczególności barier architektonicznych) ułatwiające dostęp do tych obiektów osobom niepełnosprawnym ruchowo czy sensorycznie.</w:t>
            </w:r>
          </w:p>
          <w:p w:rsidR="00400464" w:rsidRPr="00400464" w:rsidRDefault="00400464" w:rsidP="00400464">
            <w:pPr>
              <w:pStyle w:val="Tabelatekst"/>
              <w:cnfStyle w:val="000000010000"/>
              <w:rPr>
                <w:rFonts w:cs="Arial"/>
                <w:color w:val="auto"/>
              </w:rPr>
            </w:pPr>
            <w:r w:rsidRPr="00400464">
              <w:rPr>
                <w:rFonts w:cs="Arial"/>
                <w:i/>
                <w:color w:val="auto"/>
              </w:rPr>
              <w:t>Obiekt</w:t>
            </w:r>
            <w:r w:rsidRPr="00400464">
              <w:rPr>
                <w:rFonts w:cs="Arial"/>
                <w:color w:val="auto"/>
              </w:rPr>
              <w:t xml:space="preserve"> – obiekt budowlany w rozumieniu prawa budowlanego (por. poniżej). </w:t>
            </w:r>
          </w:p>
          <w:p w:rsidR="00400464" w:rsidRPr="00400464" w:rsidRDefault="00400464" w:rsidP="00400464">
            <w:pPr>
              <w:pStyle w:val="Tabelatekst"/>
              <w:cnfStyle w:val="000000010000"/>
              <w:rPr>
                <w:rFonts w:cs="Arial"/>
                <w:color w:val="auto"/>
              </w:rPr>
            </w:pPr>
            <w:r w:rsidRPr="00400464">
              <w:rPr>
                <w:rFonts w:cs="Arial"/>
                <w:i/>
                <w:color w:val="auto"/>
              </w:rPr>
              <w:t>Obiekt budowlany</w:t>
            </w:r>
            <w:r w:rsidRPr="00400464">
              <w:rPr>
                <w:rFonts w:cs="Arial"/>
                <w:color w:val="auto"/>
              </w:rPr>
              <w:t xml:space="preserve"> – budynek, budowla bądź obiekt małej architektury, wraz z instalacjami zapewniającymi możliwość użytkowania obiektu zgodnie z jego przeznaczeniem, wzniesiony z użyciem wyrobów budowlanych.</w:t>
            </w:r>
          </w:p>
          <w:p w:rsidR="00400464" w:rsidRPr="00400464" w:rsidRDefault="00400464" w:rsidP="00400464">
            <w:pPr>
              <w:pStyle w:val="Tabelatekst"/>
              <w:cnfStyle w:val="000000010000"/>
              <w:rPr>
                <w:rFonts w:cs="Arial"/>
                <w:color w:val="auto"/>
              </w:rPr>
            </w:pPr>
            <w:r w:rsidRPr="00400464">
              <w:rPr>
                <w:rFonts w:cs="Arial"/>
                <w:i/>
                <w:color w:val="auto"/>
              </w:rPr>
              <w:t>Budynek</w:t>
            </w:r>
            <w:r w:rsidRPr="00400464">
              <w:rPr>
                <w:rFonts w:cs="Arial"/>
                <w:color w:val="auto"/>
              </w:rPr>
              <w:t xml:space="preserve"> – obiekt budowlany trwale związany z gruntem, wydzielony z przestrzeni za pomocą przegród budowlanych oraz posiadający fundamenty i dach.</w:t>
            </w:r>
          </w:p>
          <w:p w:rsidR="00400464" w:rsidRPr="00400464" w:rsidRDefault="00400464" w:rsidP="00400464">
            <w:pPr>
              <w:pStyle w:val="Tabelatekst"/>
              <w:cnfStyle w:val="000000010000"/>
              <w:rPr>
                <w:rFonts w:cs="Arial"/>
                <w:color w:val="auto"/>
              </w:rPr>
            </w:pPr>
            <w:r w:rsidRPr="00400464">
              <w:rPr>
                <w:rFonts w:cs="Arial"/>
                <w:i/>
                <w:color w:val="auto"/>
              </w:rPr>
              <w:t>Obiekt małej architektury</w:t>
            </w:r>
            <w:r w:rsidRPr="00400464">
              <w:rPr>
                <w:rFonts w:cs="Arial"/>
                <w:color w:val="auto"/>
              </w:rPr>
              <w:t xml:space="preserve"> – niewielkie obiekty, a w szczególności: a) kultu religijnego, jak: kapliczki, krzyże przydrożne, figury, b) posągi, wodotryski i inne obiekty architektury ogrodowej, c) użytkowe służące rekreacji codziennej i utrzymaniu porządku, jak: piaskownice, huśtawki, drabinki, śmietniki.</w:t>
            </w:r>
          </w:p>
          <w:p w:rsidR="00400464" w:rsidRPr="00400464" w:rsidRDefault="00400464" w:rsidP="00400464">
            <w:pPr>
              <w:jc w:val="left"/>
              <w:cnfStyle w:val="000000010000"/>
              <w:rPr>
                <w:rFonts w:ascii="Arial" w:hAnsi="Arial" w:cs="Arial"/>
                <w:sz w:val="16"/>
                <w:szCs w:val="16"/>
              </w:rPr>
            </w:pPr>
            <w:r w:rsidRPr="00400464">
              <w:rPr>
                <w:rFonts w:ascii="Arial" w:hAnsi="Arial" w:cs="Arial"/>
                <w:i/>
                <w:sz w:val="16"/>
                <w:szCs w:val="16"/>
              </w:rPr>
              <w:t>Budowla</w:t>
            </w:r>
            <w:r w:rsidRPr="00400464">
              <w:rPr>
                <w:rFonts w:ascii="Arial" w:hAnsi="Arial" w:cs="Arial"/>
                <w:sz w:val="16"/>
                <w:szCs w:val="16"/>
              </w:rPr>
              <w:t xml:space="preserve"> – każdy obiekt budowlany niebędący budynkiem lub obiektem małej architektury.</w:t>
            </w:r>
          </w:p>
          <w:p w:rsidR="00400464" w:rsidRPr="00400464" w:rsidRDefault="00400464" w:rsidP="00400464">
            <w:pPr>
              <w:pStyle w:val="Tabelatekst"/>
              <w:shd w:val="clear" w:color="auto" w:fill="B2A1C7" w:themeFill="accent4" w:themeFillTint="99"/>
              <w:cnfStyle w:val="000000010000"/>
              <w:rPr>
                <w:rFonts w:cs="Arial"/>
                <w:b/>
                <w:color w:val="auto"/>
              </w:rPr>
            </w:pPr>
            <w:r w:rsidRPr="00400464">
              <w:rPr>
                <w:rFonts w:cs="Arial"/>
                <w:b/>
                <w:i/>
                <w:color w:val="auto"/>
              </w:rPr>
              <w:t>Sposób pomiaru:</w:t>
            </w:r>
            <w:r w:rsidRPr="00400464">
              <w:rPr>
                <w:rFonts w:cs="Arial"/>
                <w:b/>
                <w:color w:val="auto"/>
              </w:rPr>
              <w:t xml:space="preserve"> </w:t>
            </w:r>
          </w:p>
          <w:p w:rsidR="00400464" w:rsidRPr="00400464" w:rsidRDefault="00400464" w:rsidP="00400464">
            <w:pPr>
              <w:pStyle w:val="Tabelatekst"/>
              <w:cnfStyle w:val="000000010000"/>
              <w:rPr>
                <w:rFonts w:cs="Arial"/>
                <w:color w:val="auto"/>
              </w:rPr>
            </w:pPr>
            <w:r>
              <w:rPr>
                <w:rFonts w:cs="Arial"/>
                <w:color w:val="auto"/>
              </w:rPr>
              <w:t>N</w:t>
            </w:r>
            <w:r w:rsidRPr="00400464">
              <w:rPr>
                <w:rFonts w:cs="Arial"/>
                <w:color w:val="auto"/>
              </w:rPr>
              <w:t xml:space="preserve">ależy zliczyć liczbę obiektów budowlanych (budynków, budowli), które zaopatrzono w specjalne podjazdy, windy, urządzenia głośnomówiące, bądź inne udogodnienia (tj. usunięcie barier w dostępie, w szczególności barier architektonicznych) ułatwiające dostęp do tych obiektów osobom niepełnosprawnym ruchowo czy sensorycznie. </w:t>
            </w:r>
          </w:p>
          <w:p w:rsidR="00400464" w:rsidRPr="00400464" w:rsidRDefault="00400464" w:rsidP="00400464">
            <w:pPr>
              <w:pStyle w:val="Tabelatekst"/>
              <w:cnfStyle w:val="000000010000"/>
              <w:rPr>
                <w:rFonts w:cs="Arial"/>
                <w:color w:val="auto"/>
              </w:rPr>
            </w:pPr>
            <w:r w:rsidRPr="00400464">
              <w:rPr>
                <w:rFonts w:cs="Arial"/>
                <w:color w:val="auto"/>
              </w:rPr>
              <w:t xml:space="preserve">Przed realizacją projektu, obiekt budowlany nie może spełniać minimalnych wymogów przewidzianych przez prawo budowlane, natomiast po realizacji projektu, aby obiekt został wliczony do wskaźnika, musi w pełni </w:t>
            </w:r>
            <w:r w:rsidRPr="00400464">
              <w:rPr>
                <w:rFonts w:cs="Arial"/>
                <w:color w:val="auto"/>
              </w:rPr>
              <w:lastRenderedPageBreak/>
              <w:t>spełniać te wymogi.</w:t>
            </w:r>
          </w:p>
          <w:p w:rsidR="00400464" w:rsidRPr="00400464" w:rsidRDefault="00400464" w:rsidP="00400464">
            <w:pPr>
              <w:pStyle w:val="Tabelatekst"/>
              <w:cnfStyle w:val="000000010000"/>
              <w:rPr>
                <w:rFonts w:cs="Arial"/>
                <w:b/>
                <w:i/>
                <w:color w:val="auto"/>
              </w:rPr>
            </w:pPr>
            <w:r w:rsidRPr="00400464">
              <w:rPr>
                <w:rFonts w:cs="Arial"/>
                <w:b/>
                <w:i/>
                <w:color w:val="auto"/>
              </w:rPr>
              <w:t xml:space="preserve">Szczególne przypadki podczas pomiaru: </w:t>
            </w:r>
          </w:p>
          <w:p w:rsidR="00400464" w:rsidRPr="00400464" w:rsidRDefault="00400464" w:rsidP="00400464">
            <w:pPr>
              <w:pStyle w:val="Tabelatekst"/>
              <w:numPr>
                <w:ilvl w:val="0"/>
                <w:numId w:val="1"/>
              </w:numPr>
              <w:ind w:left="198" w:hanging="141"/>
              <w:cnfStyle w:val="000000010000"/>
              <w:rPr>
                <w:rFonts w:cs="Arial"/>
                <w:color w:val="auto"/>
              </w:rPr>
            </w:pPr>
            <w:r w:rsidRPr="00400464">
              <w:rPr>
                <w:rFonts w:cs="Arial"/>
                <w:color w:val="auto"/>
              </w:rPr>
              <w:t>w przypadku budynków i budowli należy podać ich liczbę, a nie liczbę sprzętów, urządzeń itp., w które obiekty zaopatrzono,</w:t>
            </w:r>
          </w:p>
          <w:p w:rsidR="00400464" w:rsidRPr="00400464" w:rsidRDefault="00400464" w:rsidP="00400464">
            <w:pPr>
              <w:pStyle w:val="Tabelatekst"/>
              <w:numPr>
                <w:ilvl w:val="0"/>
                <w:numId w:val="1"/>
              </w:numPr>
              <w:ind w:left="198" w:hanging="141"/>
              <w:cnfStyle w:val="000000010000"/>
              <w:rPr>
                <w:rFonts w:cs="Arial"/>
                <w:color w:val="auto"/>
              </w:rPr>
            </w:pPr>
            <w:r w:rsidRPr="00400464">
              <w:rPr>
                <w:rFonts w:cs="Arial"/>
                <w:color w:val="auto"/>
              </w:rPr>
              <w:t>jeśli instytucja, zakład itp. składa się z kilku obiektów, należy zliczyć wszystkie obiekty budowlane, które dostosowano do potrzeb osób niepełnosprawnych,</w:t>
            </w:r>
          </w:p>
          <w:p w:rsidR="00400464" w:rsidRPr="00400464" w:rsidRDefault="00400464" w:rsidP="00400464">
            <w:pPr>
              <w:pStyle w:val="Tabelatekst"/>
              <w:numPr>
                <w:ilvl w:val="0"/>
                <w:numId w:val="1"/>
              </w:numPr>
              <w:ind w:left="198" w:hanging="141"/>
              <w:cnfStyle w:val="000000010000"/>
              <w:rPr>
                <w:rFonts w:cs="Arial"/>
                <w:color w:val="auto"/>
              </w:rPr>
            </w:pPr>
            <w:r w:rsidRPr="00400464">
              <w:rPr>
                <w:rFonts w:cs="Arial"/>
                <w:color w:val="auto"/>
              </w:rPr>
              <w:t>nie należy wliczać obiektów małej architektury.</w:t>
            </w:r>
          </w:p>
          <w:p w:rsidR="00400464" w:rsidRPr="00400464" w:rsidRDefault="00400464" w:rsidP="00400464">
            <w:pPr>
              <w:jc w:val="left"/>
              <w:cnfStyle w:val="000000010000"/>
              <w:rPr>
                <w:rFonts w:ascii="Arial" w:hAnsi="Arial" w:cs="Arial"/>
                <w:b/>
                <w:sz w:val="16"/>
                <w:szCs w:val="16"/>
              </w:rPr>
            </w:pPr>
            <w:r w:rsidRPr="00400464">
              <w:rPr>
                <w:rFonts w:ascii="Arial" w:hAnsi="Arial" w:cs="Arial"/>
                <w:b/>
                <w:i/>
                <w:sz w:val="16"/>
                <w:szCs w:val="16"/>
              </w:rPr>
              <w:t>Moment pomiaru:</w:t>
            </w:r>
            <w:r w:rsidRPr="00400464">
              <w:rPr>
                <w:rFonts w:ascii="Arial" w:hAnsi="Arial" w:cs="Arial"/>
                <w:b/>
                <w:sz w:val="16"/>
                <w:szCs w:val="16"/>
              </w:rPr>
              <w:t xml:space="preserve"> </w:t>
            </w:r>
          </w:p>
          <w:p w:rsidR="00400464" w:rsidRPr="00400464" w:rsidRDefault="00400464" w:rsidP="00400464">
            <w:pPr>
              <w:jc w:val="left"/>
              <w:cnfStyle w:val="000000010000"/>
              <w:rPr>
                <w:rFonts w:ascii="Arial" w:hAnsi="Arial" w:cs="Arial"/>
                <w:sz w:val="16"/>
                <w:szCs w:val="16"/>
              </w:rPr>
            </w:pPr>
            <w:r>
              <w:rPr>
                <w:rFonts w:ascii="Arial" w:hAnsi="Arial" w:cs="Arial"/>
                <w:sz w:val="16"/>
                <w:szCs w:val="16"/>
              </w:rPr>
              <w:t>W</w:t>
            </w:r>
            <w:r w:rsidRPr="00400464">
              <w:rPr>
                <w:rFonts w:ascii="Arial" w:hAnsi="Arial" w:cs="Arial"/>
                <w:sz w:val="16"/>
                <w:szCs w:val="16"/>
              </w:rPr>
              <w:t xml:space="preserve"> okresie od podpisania umowy o dofinansowanie, przy czym osiągnięte wartości powinny zostać wykazane najpóźniej we wniosku o płatność końcową.</w:t>
            </w:r>
          </w:p>
          <w:p w:rsidR="00400464" w:rsidRPr="00400464" w:rsidRDefault="00400464" w:rsidP="00400464">
            <w:pPr>
              <w:shd w:val="clear" w:color="auto" w:fill="B2A1C7" w:themeFill="accent4" w:themeFillTint="99"/>
              <w:jc w:val="left"/>
              <w:cnfStyle w:val="000000010000"/>
              <w:rPr>
                <w:rFonts w:ascii="Arial" w:hAnsi="Arial" w:cs="Arial"/>
                <w:b/>
                <w:i/>
                <w:sz w:val="16"/>
                <w:szCs w:val="16"/>
              </w:rPr>
            </w:pPr>
            <w:r w:rsidRPr="00400464">
              <w:rPr>
                <w:rFonts w:ascii="Arial" w:hAnsi="Arial" w:cs="Arial"/>
                <w:b/>
                <w:i/>
                <w:sz w:val="16"/>
                <w:szCs w:val="16"/>
              </w:rPr>
              <w:t>Źródło:</w:t>
            </w:r>
          </w:p>
          <w:p w:rsidR="00400464" w:rsidRPr="00400464" w:rsidRDefault="00400464" w:rsidP="00400464">
            <w:pPr>
              <w:jc w:val="left"/>
              <w:cnfStyle w:val="000000010000"/>
              <w:rPr>
                <w:rFonts w:ascii="Arial" w:eastAsia="Times New Roman" w:hAnsi="Arial" w:cs="Arial"/>
                <w:sz w:val="16"/>
                <w:szCs w:val="16"/>
                <w:lang w:eastAsia="pl-PL"/>
              </w:rPr>
            </w:pPr>
            <w:r w:rsidRPr="00400464">
              <w:rPr>
                <w:rFonts w:ascii="Arial" w:hAnsi="Arial" w:cs="Arial"/>
                <w:sz w:val="16"/>
                <w:szCs w:val="16"/>
              </w:rPr>
              <w:t>Dane pozyskiwane z protokołów odbioru konkretnych robót ze wskazaniem danego obiektu. W przypadku zakupu wyposażenia, źródłem informacji jest dokument zakupu wyposażenia oraz protokół przyjęcia środków trwałych na stan (ewidencja środków trwałych).</w:t>
            </w:r>
          </w:p>
        </w:tc>
      </w:tr>
      <w:tr w:rsidR="00BE0E47" w:rsidRPr="00EE7540" w:rsidTr="003E536A">
        <w:trPr>
          <w:cnfStyle w:val="000000100000"/>
          <w:trHeight w:val="585"/>
        </w:trPr>
        <w:tc>
          <w:tcPr>
            <w:cnfStyle w:val="001000000000"/>
            <w:tcW w:w="3030" w:type="dxa"/>
            <w:vAlign w:val="center"/>
            <w:hideMark/>
          </w:tcPr>
          <w:p w:rsidR="00BE0E47" w:rsidRPr="009754D9" w:rsidRDefault="00BE0E47" w:rsidP="00BE0E47">
            <w:pPr>
              <w:jc w:val="left"/>
              <w:rPr>
                <w:rFonts w:ascii="Arial" w:hAnsi="Arial" w:cs="Arial"/>
                <w:sz w:val="18"/>
                <w:szCs w:val="18"/>
              </w:rPr>
            </w:pPr>
            <w:r w:rsidRPr="009754D9">
              <w:rPr>
                <w:rFonts w:ascii="Arial" w:hAnsi="Arial" w:cs="Arial"/>
                <w:sz w:val="18"/>
                <w:szCs w:val="18"/>
              </w:rPr>
              <w:lastRenderedPageBreak/>
              <w:t>Wzrost zatrudnienia we wspieranych podmiotach (innych niż przedsiębiorstwa)</w:t>
            </w:r>
          </w:p>
        </w:tc>
        <w:tc>
          <w:tcPr>
            <w:tcW w:w="1107" w:type="dxa"/>
            <w:vAlign w:val="center"/>
            <w:hideMark/>
          </w:tcPr>
          <w:p w:rsidR="00BE0E47" w:rsidRPr="009754D9" w:rsidRDefault="00BE0E47" w:rsidP="00BE0E47">
            <w:pPr>
              <w:jc w:val="left"/>
              <w:cnfStyle w:val="000000100000"/>
              <w:rPr>
                <w:rFonts w:ascii="Arial" w:hAnsi="Arial" w:cs="Arial"/>
                <w:sz w:val="18"/>
                <w:szCs w:val="18"/>
              </w:rPr>
            </w:pPr>
            <w:r w:rsidRPr="009754D9">
              <w:rPr>
                <w:rFonts w:ascii="Arial" w:hAnsi="Arial" w:cs="Arial"/>
                <w:sz w:val="18"/>
                <w:szCs w:val="18"/>
              </w:rPr>
              <w:t>EPC</w:t>
            </w:r>
          </w:p>
        </w:tc>
        <w:tc>
          <w:tcPr>
            <w:tcW w:w="1197" w:type="dxa"/>
            <w:vAlign w:val="center"/>
          </w:tcPr>
          <w:p w:rsidR="00BE0E47" w:rsidRPr="009754D9" w:rsidRDefault="00BE0E47" w:rsidP="00BE0E47">
            <w:pPr>
              <w:jc w:val="left"/>
              <w:cnfStyle w:val="000000100000"/>
              <w:rPr>
                <w:rFonts w:ascii="Arial" w:eastAsia="Times New Roman" w:hAnsi="Arial" w:cs="Arial"/>
                <w:sz w:val="18"/>
                <w:szCs w:val="18"/>
                <w:lang w:eastAsia="pl-PL"/>
              </w:rPr>
            </w:pPr>
            <w:r w:rsidRPr="009754D9">
              <w:rPr>
                <w:rFonts w:ascii="Arial" w:eastAsia="Times New Roman" w:hAnsi="Arial" w:cs="Arial"/>
                <w:sz w:val="18"/>
                <w:szCs w:val="18"/>
                <w:lang w:eastAsia="pl-PL"/>
              </w:rPr>
              <w:t>rezultat bezpośredni</w:t>
            </w:r>
          </w:p>
        </w:tc>
        <w:tc>
          <w:tcPr>
            <w:tcW w:w="1043" w:type="dxa"/>
            <w:vAlign w:val="center"/>
          </w:tcPr>
          <w:p w:rsidR="00BE0E47" w:rsidRPr="009754D9" w:rsidRDefault="00BE0E47" w:rsidP="00BE0E47">
            <w:pPr>
              <w:jc w:val="left"/>
              <w:cnfStyle w:val="000000100000"/>
              <w:rPr>
                <w:rFonts w:ascii="Arial" w:eastAsia="Times New Roman" w:hAnsi="Arial" w:cs="Arial"/>
                <w:sz w:val="18"/>
                <w:szCs w:val="18"/>
                <w:lang w:eastAsia="pl-PL"/>
              </w:rPr>
            </w:pPr>
            <w:r w:rsidRPr="009754D9">
              <w:rPr>
                <w:rFonts w:ascii="Arial" w:eastAsia="Times New Roman" w:hAnsi="Arial" w:cs="Arial"/>
                <w:sz w:val="18"/>
                <w:szCs w:val="18"/>
                <w:lang w:eastAsia="pl-PL"/>
              </w:rPr>
              <w:t>kluczowy - krajowy</w:t>
            </w:r>
          </w:p>
        </w:tc>
        <w:tc>
          <w:tcPr>
            <w:tcW w:w="964" w:type="dxa"/>
            <w:vAlign w:val="center"/>
          </w:tcPr>
          <w:p w:rsidR="00BE0E47" w:rsidRPr="009754D9" w:rsidRDefault="00BE0E47" w:rsidP="00BE0E47">
            <w:pPr>
              <w:jc w:val="left"/>
              <w:cnfStyle w:val="000000100000"/>
              <w:rPr>
                <w:rFonts w:ascii="Arial" w:eastAsia="Times New Roman" w:hAnsi="Arial" w:cs="Arial"/>
                <w:sz w:val="18"/>
                <w:szCs w:val="18"/>
                <w:lang w:eastAsia="pl-PL"/>
              </w:rPr>
            </w:pPr>
            <w:r w:rsidRPr="009754D9">
              <w:rPr>
                <w:rFonts w:ascii="Arial" w:eastAsia="Times New Roman" w:hAnsi="Arial" w:cs="Arial"/>
                <w:sz w:val="18"/>
                <w:szCs w:val="18"/>
                <w:lang w:eastAsia="pl-PL"/>
              </w:rPr>
              <w:t>projekt</w:t>
            </w:r>
          </w:p>
          <w:p w:rsidR="00BE0E47" w:rsidRPr="009754D9" w:rsidRDefault="00BE0E47" w:rsidP="00BE0E47">
            <w:pPr>
              <w:jc w:val="left"/>
              <w:cnfStyle w:val="000000100000"/>
              <w:rPr>
                <w:rFonts w:ascii="Arial" w:eastAsia="Times New Roman" w:hAnsi="Arial" w:cs="Arial"/>
                <w:sz w:val="18"/>
                <w:szCs w:val="18"/>
                <w:lang w:eastAsia="pl-PL"/>
              </w:rPr>
            </w:pPr>
          </w:p>
        </w:tc>
        <w:tc>
          <w:tcPr>
            <w:tcW w:w="1287" w:type="dxa"/>
            <w:vAlign w:val="center"/>
          </w:tcPr>
          <w:p w:rsidR="00BE0E47" w:rsidRPr="009754D9" w:rsidRDefault="00BE0E47" w:rsidP="00BE0E47">
            <w:pPr>
              <w:jc w:val="left"/>
              <w:cnfStyle w:val="000000100000"/>
              <w:rPr>
                <w:rFonts w:ascii="Arial" w:eastAsia="Times New Roman" w:hAnsi="Arial" w:cs="Arial"/>
                <w:sz w:val="18"/>
                <w:szCs w:val="18"/>
                <w:lang w:eastAsia="pl-PL"/>
              </w:rPr>
            </w:pPr>
            <w:r w:rsidRPr="009754D9">
              <w:rPr>
                <w:rFonts w:ascii="Arial" w:eastAsia="Times New Roman" w:hAnsi="Arial" w:cs="Arial"/>
                <w:sz w:val="18"/>
                <w:szCs w:val="18"/>
                <w:lang w:eastAsia="pl-PL"/>
              </w:rPr>
              <w:t>informacyjny</w:t>
            </w:r>
          </w:p>
        </w:tc>
        <w:tc>
          <w:tcPr>
            <w:tcW w:w="1261" w:type="dxa"/>
            <w:vAlign w:val="center"/>
          </w:tcPr>
          <w:p w:rsidR="00BE0E47" w:rsidRPr="009754D9" w:rsidRDefault="00BE0E47" w:rsidP="00BE0E47">
            <w:pPr>
              <w:jc w:val="left"/>
              <w:cnfStyle w:val="000000100000"/>
              <w:rPr>
                <w:rFonts w:ascii="Arial" w:eastAsia="Times New Roman" w:hAnsi="Arial" w:cs="Arial"/>
                <w:sz w:val="18"/>
                <w:szCs w:val="18"/>
                <w:lang w:eastAsia="pl-PL"/>
              </w:rPr>
            </w:pPr>
          </w:p>
        </w:tc>
        <w:tc>
          <w:tcPr>
            <w:tcW w:w="4253" w:type="dxa"/>
          </w:tcPr>
          <w:p w:rsidR="00BE0E47" w:rsidRPr="00EE7540" w:rsidRDefault="00BE0E47" w:rsidP="00BE0E47">
            <w:pPr>
              <w:jc w:val="left"/>
              <w:cnfStyle w:val="000000100000"/>
              <w:rPr>
                <w:rFonts w:ascii="Arial" w:eastAsia="Times New Roman" w:hAnsi="Arial" w:cs="Arial"/>
                <w:sz w:val="18"/>
                <w:szCs w:val="18"/>
                <w:lang w:eastAsia="pl-PL"/>
              </w:rPr>
            </w:pPr>
            <w:r w:rsidRPr="00EE7540">
              <w:rPr>
                <w:rFonts w:ascii="Arial" w:eastAsia="Times New Roman" w:hAnsi="Arial" w:cs="Arial"/>
                <w:sz w:val="18"/>
                <w:szCs w:val="18"/>
                <w:lang w:eastAsia="pl-PL"/>
              </w:rPr>
              <w:t>Nowe miejsca pracy brutto w</w:t>
            </w:r>
            <w:r>
              <w:rPr>
                <w:rFonts w:ascii="Arial" w:eastAsia="Times New Roman" w:hAnsi="Arial" w:cs="Arial"/>
                <w:sz w:val="18"/>
                <w:szCs w:val="18"/>
                <w:lang w:eastAsia="pl-PL"/>
              </w:rPr>
              <w:t>e</w:t>
            </w:r>
            <w:r w:rsidRPr="00EE7540">
              <w:rPr>
                <w:rFonts w:ascii="Arial" w:eastAsia="Times New Roman" w:hAnsi="Arial" w:cs="Arial"/>
                <w:sz w:val="18"/>
                <w:szCs w:val="18"/>
                <w:lang w:eastAsia="pl-PL"/>
              </w:rPr>
              <w:t xml:space="preserve"> wspartych </w:t>
            </w:r>
            <w:r>
              <w:rPr>
                <w:rFonts w:ascii="Arial" w:eastAsia="Times New Roman" w:hAnsi="Arial" w:cs="Arial"/>
                <w:sz w:val="18"/>
                <w:szCs w:val="18"/>
                <w:lang w:eastAsia="pl-PL"/>
              </w:rPr>
              <w:t>podmiotach (innych niż przedsiębiorstwa)</w:t>
            </w:r>
            <w:r w:rsidRPr="00EE7540">
              <w:rPr>
                <w:rFonts w:ascii="Arial" w:eastAsia="Times New Roman" w:hAnsi="Arial" w:cs="Arial"/>
                <w:sz w:val="18"/>
                <w:szCs w:val="18"/>
                <w:lang w:eastAsia="pl-PL"/>
              </w:rPr>
              <w:t xml:space="preserve"> w przeliczeniu </w:t>
            </w:r>
            <w:r>
              <w:rPr>
                <w:rFonts w:ascii="Arial" w:eastAsia="Times New Roman" w:hAnsi="Arial" w:cs="Arial"/>
                <w:sz w:val="18"/>
                <w:szCs w:val="18"/>
                <w:lang w:eastAsia="pl-PL"/>
              </w:rPr>
              <w:t xml:space="preserve">na </w:t>
            </w:r>
            <w:r w:rsidRPr="00EE7540">
              <w:rPr>
                <w:rFonts w:ascii="Arial" w:eastAsia="Times New Roman" w:hAnsi="Arial" w:cs="Arial"/>
                <w:sz w:val="18"/>
                <w:szCs w:val="18"/>
                <w:lang w:eastAsia="pl-PL"/>
              </w:rPr>
              <w:t>ekwiwalenty pełnego czasu pracy (EPC)</w:t>
            </w:r>
            <w:r>
              <w:rPr>
                <w:rFonts w:ascii="Arial" w:eastAsia="Times New Roman" w:hAnsi="Arial" w:cs="Arial"/>
                <w:sz w:val="18"/>
                <w:szCs w:val="18"/>
                <w:lang w:eastAsia="pl-PL"/>
              </w:rPr>
              <w:t xml:space="preserve"> - umowa o prace</w:t>
            </w:r>
            <w:r w:rsidRPr="00EE7540">
              <w:rPr>
                <w:rFonts w:ascii="Arial" w:eastAsia="Times New Roman" w:hAnsi="Arial" w:cs="Arial"/>
                <w:sz w:val="18"/>
                <w:szCs w:val="18"/>
                <w:lang w:eastAsia="pl-PL"/>
              </w:rPr>
              <w:t>.</w:t>
            </w:r>
          </w:p>
          <w:p w:rsidR="00BE0E47" w:rsidRPr="00EE7540" w:rsidRDefault="00BE0E47" w:rsidP="00BE0E47">
            <w:pPr>
              <w:jc w:val="left"/>
              <w:cnfStyle w:val="000000100000"/>
              <w:rPr>
                <w:rFonts w:ascii="Arial" w:eastAsia="Times New Roman" w:hAnsi="Arial" w:cs="Arial"/>
                <w:sz w:val="18"/>
                <w:szCs w:val="18"/>
                <w:lang w:eastAsia="pl-PL"/>
              </w:rPr>
            </w:pPr>
            <w:r w:rsidRPr="00EE7540">
              <w:rPr>
                <w:rFonts w:ascii="Arial" w:eastAsia="Times New Roman" w:hAnsi="Arial" w:cs="Arial"/>
                <w:sz w:val="18"/>
                <w:szCs w:val="18"/>
                <w:lang w:eastAsia="pl-PL"/>
              </w:rPr>
              <w:t xml:space="preserve">Przede wszystkim wskaźnik "przed-po" ujmuje wzrost zatrudnienia, który jest bezpośrednią konsekwencją realizacji projektu (nie wlicza się pracowników zatrudnionych do realizacji projektu).  Stanowiska muszą być obsadzone (wakaty nie są liczone) oraz zwiększać całkowitą liczbę miejsc pracy w </w:t>
            </w:r>
            <w:r>
              <w:rPr>
                <w:rFonts w:ascii="Arial" w:eastAsia="Times New Roman" w:hAnsi="Arial" w:cs="Arial"/>
                <w:sz w:val="18"/>
                <w:szCs w:val="18"/>
                <w:lang w:eastAsia="pl-PL"/>
              </w:rPr>
              <w:t>podmiocie</w:t>
            </w:r>
            <w:r w:rsidRPr="00EE7540">
              <w:rPr>
                <w:rFonts w:ascii="Arial" w:eastAsia="Times New Roman" w:hAnsi="Arial" w:cs="Arial"/>
                <w:sz w:val="18"/>
                <w:szCs w:val="18"/>
                <w:lang w:eastAsia="pl-PL"/>
              </w:rPr>
              <w:t>.</w:t>
            </w:r>
          </w:p>
          <w:p w:rsidR="00BE0E47" w:rsidRPr="00EE7540" w:rsidRDefault="00BE0E47" w:rsidP="00BE0E47">
            <w:pPr>
              <w:jc w:val="left"/>
              <w:cnfStyle w:val="000000100000"/>
              <w:rPr>
                <w:rFonts w:ascii="Arial" w:eastAsia="Times New Roman" w:hAnsi="Arial" w:cs="Arial"/>
                <w:sz w:val="18"/>
                <w:szCs w:val="18"/>
                <w:lang w:eastAsia="pl-PL"/>
              </w:rPr>
            </w:pPr>
            <w:r w:rsidRPr="00EE7540">
              <w:rPr>
                <w:rFonts w:ascii="Arial" w:eastAsia="Times New Roman" w:hAnsi="Arial" w:cs="Arial"/>
                <w:sz w:val="18"/>
                <w:szCs w:val="18"/>
                <w:lang w:eastAsia="pl-PL"/>
              </w:rPr>
              <w:t xml:space="preserve">Jeśli łączne zatrudnienie w </w:t>
            </w:r>
            <w:r>
              <w:rPr>
                <w:rFonts w:ascii="Arial" w:eastAsia="Times New Roman" w:hAnsi="Arial" w:cs="Arial"/>
                <w:sz w:val="18"/>
                <w:szCs w:val="18"/>
                <w:lang w:eastAsia="pl-PL"/>
              </w:rPr>
              <w:t>podmiocie</w:t>
            </w:r>
            <w:r w:rsidRPr="00EE7540">
              <w:rPr>
                <w:rFonts w:ascii="Arial" w:eastAsia="Times New Roman" w:hAnsi="Arial" w:cs="Arial"/>
                <w:sz w:val="18"/>
                <w:szCs w:val="18"/>
                <w:lang w:eastAsia="pl-PL"/>
              </w:rPr>
              <w:t xml:space="preserve"> nie wzrasta, wartość jest równa zero - jest to traktowane jako wyrównanie, a nie zwiększenie. Zachowane itp. miejsca pracy nie są wliczane.</w:t>
            </w:r>
          </w:p>
          <w:p w:rsidR="00BE0E47" w:rsidRPr="00EE7540" w:rsidRDefault="00BE0E47" w:rsidP="00BE0E47">
            <w:pPr>
              <w:jc w:val="left"/>
              <w:cnfStyle w:val="000000100000"/>
              <w:rPr>
                <w:rFonts w:ascii="Arial" w:eastAsia="Times New Roman" w:hAnsi="Arial" w:cs="Arial"/>
                <w:sz w:val="18"/>
                <w:szCs w:val="18"/>
                <w:lang w:eastAsia="pl-PL"/>
              </w:rPr>
            </w:pPr>
            <w:r w:rsidRPr="00EE7540">
              <w:rPr>
                <w:rFonts w:ascii="Arial" w:eastAsia="Times New Roman" w:hAnsi="Arial" w:cs="Arial"/>
                <w:sz w:val="18"/>
                <w:szCs w:val="18"/>
                <w:lang w:eastAsia="pl-PL"/>
              </w:rPr>
              <w:t>Brutto: Nie bierze się po uwagę pochodzenia pracownika dopóki bezpośrednio przyczynia się do wzrostu łącznego zatrudnienia w</w:t>
            </w:r>
            <w:r>
              <w:rPr>
                <w:rFonts w:ascii="Arial" w:eastAsia="Times New Roman" w:hAnsi="Arial" w:cs="Arial"/>
                <w:sz w:val="18"/>
                <w:szCs w:val="18"/>
                <w:lang w:eastAsia="pl-PL"/>
              </w:rPr>
              <w:t>e</w:t>
            </w:r>
            <w:r w:rsidRPr="00EE7540">
              <w:rPr>
                <w:rFonts w:ascii="Arial" w:eastAsia="Times New Roman" w:hAnsi="Arial" w:cs="Arial"/>
                <w:sz w:val="18"/>
                <w:szCs w:val="18"/>
                <w:lang w:eastAsia="pl-PL"/>
              </w:rPr>
              <w:t xml:space="preserve"> </w:t>
            </w:r>
            <w:r>
              <w:rPr>
                <w:rFonts w:ascii="Arial" w:eastAsia="Times New Roman" w:hAnsi="Arial" w:cs="Arial"/>
                <w:sz w:val="18"/>
                <w:szCs w:val="18"/>
                <w:lang w:eastAsia="pl-PL"/>
              </w:rPr>
              <w:t>organizacji</w:t>
            </w:r>
            <w:r w:rsidR="00693752">
              <w:rPr>
                <w:rFonts w:ascii="Arial" w:eastAsia="Times New Roman" w:hAnsi="Arial" w:cs="Arial"/>
                <w:sz w:val="18"/>
                <w:szCs w:val="18"/>
                <w:lang w:eastAsia="pl-PL"/>
              </w:rPr>
              <w:t>/</w:t>
            </w:r>
            <w:r>
              <w:rPr>
                <w:rFonts w:ascii="Arial" w:eastAsia="Times New Roman" w:hAnsi="Arial" w:cs="Arial"/>
                <w:sz w:val="18"/>
                <w:szCs w:val="18"/>
                <w:lang w:eastAsia="pl-PL"/>
              </w:rPr>
              <w:t>wspartym podmiocie</w:t>
            </w:r>
            <w:r w:rsidRPr="00EE7540">
              <w:rPr>
                <w:rFonts w:ascii="Arial" w:eastAsia="Times New Roman" w:hAnsi="Arial" w:cs="Arial"/>
                <w:sz w:val="18"/>
                <w:szCs w:val="18"/>
                <w:lang w:eastAsia="pl-PL"/>
              </w:rPr>
              <w:t>. Wskaźnik powinien być stosowany, jeśli wzrost zatrudnienia może być wiarygodnie przypisany do wsparcia.</w:t>
            </w:r>
          </w:p>
          <w:p w:rsidR="00BE0E47" w:rsidRDefault="00BE0E47" w:rsidP="00BE0E47">
            <w:pPr>
              <w:jc w:val="left"/>
              <w:cnfStyle w:val="000000100000"/>
              <w:rPr>
                <w:rFonts w:ascii="Arial" w:eastAsia="Times New Roman" w:hAnsi="Arial" w:cs="Arial"/>
                <w:sz w:val="18"/>
                <w:szCs w:val="18"/>
                <w:lang w:eastAsia="pl-PL"/>
              </w:rPr>
            </w:pPr>
            <w:r w:rsidRPr="00EE7540">
              <w:rPr>
                <w:rFonts w:ascii="Arial" w:eastAsia="Times New Roman" w:hAnsi="Arial" w:cs="Arial"/>
                <w:sz w:val="18"/>
                <w:szCs w:val="18"/>
                <w:lang w:eastAsia="pl-PL"/>
              </w:rPr>
              <w:t xml:space="preserve">Ekwiwalent pełnego czasu pracy: Praca może być </w:t>
            </w:r>
            <w:r>
              <w:rPr>
                <w:rFonts w:ascii="Arial" w:eastAsia="Times New Roman" w:hAnsi="Arial" w:cs="Arial"/>
                <w:sz w:val="18"/>
                <w:szCs w:val="18"/>
                <w:lang w:eastAsia="pl-PL"/>
              </w:rPr>
              <w:t xml:space="preserve">wykonywana </w:t>
            </w:r>
            <w:r w:rsidRPr="00EE7540">
              <w:rPr>
                <w:rFonts w:ascii="Arial" w:eastAsia="Times New Roman" w:hAnsi="Arial" w:cs="Arial"/>
                <w:sz w:val="18"/>
                <w:szCs w:val="18"/>
                <w:lang w:eastAsia="pl-PL"/>
              </w:rPr>
              <w:t xml:space="preserve">na pełen etat, w niepełnym wymiarze </w:t>
            </w:r>
            <w:r w:rsidRPr="00EE7540">
              <w:rPr>
                <w:rFonts w:ascii="Arial" w:eastAsia="Times New Roman" w:hAnsi="Arial" w:cs="Arial"/>
                <w:sz w:val="18"/>
                <w:szCs w:val="18"/>
                <w:lang w:eastAsia="pl-PL"/>
              </w:rPr>
              <w:lastRenderedPageBreak/>
              <w:t>czasu pracy lub sezonowa. Sezonowe i niepełne etaty zostaną przeliczone na EPC za pomocą standardów Międzynarodowej Organizacji Pracy</w:t>
            </w:r>
            <w:r>
              <w:rPr>
                <w:rFonts w:ascii="Arial" w:eastAsia="Times New Roman" w:hAnsi="Arial" w:cs="Arial"/>
                <w:sz w:val="18"/>
                <w:szCs w:val="18"/>
                <w:lang w:eastAsia="pl-PL"/>
              </w:rPr>
              <w:t xml:space="preserve"> </w:t>
            </w:r>
            <w:r w:rsidRPr="00EE7540">
              <w:rPr>
                <w:rFonts w:ascii="Arial" w:eastAsia="Times New Roman" w:hAnsi="Arial" w:cs="Arial"/>
                <w:sz w:val="18"/>
                <w:szCs w:val="18"/>
                <w:lang w:eastAsia="pl-PL"/>
              </w:rPr>
              <w:t>/ statystycznych / innych.</w:t>
            </w:r>
          </w:p>
          <w:p w:rsidR="00BE0E47" w:rsidRPr="00400464" w:rsidRDefault="00BE0E47" w:rsidP="00BE0E47">
            <w:pPr>
              <w:jc w:val="left"/>
              <w:cnfStyle w:val="000000100000"/>
              <w:rPr>
                <w:rFonts w:ascii="Arial" w:eastAsia="Times New Roman" w:hAnsi="Arial" w:cs="Arial"/>
                <w:sz w:val="18"/>
                <w:szCs w:val="18"/>
                <w:lang w:eastAsia="pl-PL"/>
              </w:rPr>
            </w:pPr>
            <w:r>
              <w:rPr>
                <w:rFonts w:ascii="Arial" w:eastAsia="Times New Roman" w:hAnsi="Arial" w:cs="Arial"/>
                <w:sz w:val="18"/>
                <w:szCs w:val="18"/>
                <w:lang w:eastAsia="pl-PL"/>
              </w:rPr>
              <w:t>Trwałość:</w:t>
            </w:r>
            <w:r w:rsidRPr="007878F4">
              <w:rPr>
                <w:rFonts w:ascii="Arial" w:eastAsia="Times New Roman" w:hAnsi="Arial" w:cs="Arial"/>
                <w:sz w:val="18"/>
                <w:szCs w:val="18"/>
                <w:lang w:eastAsia="pl-PL"/>
              </w:rPr>
              <w:t xml:space="preserve"> Zgodnie z art. 71 rozporządzenia ogólnego zachowanie trwałości </w:t>
            </w:r>
            <w:r w:rsidRPr="007878F4">
              <w:rPr>
                <w:rFonts w:ascii="Arial" w:eastAsia="Times New Roman" w:hAnsi="Arial" w:cs="Arial"/>
                <w:b/>
                <w:sz w:val="18"/>
                <w:szCs w:val="18"/>
                <w:lang w:eastAsia="pl-PL"/>
              </w:rPr>
              <w:t>miejsc pracy</w:t>
            </w:r>
            <w:r>
              <w:rPr>
                <w:rFonts w:ascii="Arial" w:eastAsia="Times New Roman" w:hAnsi="Arial" w:cs="Arial"/>
                <w:sz w:val="18"/>
                <w:szCs w:val="18"/>
                <w:lang w:eastAsia="pl-PL"/>
              </w:rPr>
              <w:t xml:space="preserve"> </w:t>
            </w:r>
            <w:r w:rsidRPr="007878F4">
              <w:rPr>
                <w:rFonts w:ascii="Arial" w:eastAsia="Times New Roman" w:hAnsi="Arial" w:cs="Arial"/>
                <w:sz w:val="18"/>
                <w:szCs w:val="18"/>
                <w:lang w:eastAsia="pl-PL"/>
              </w:rPr>
              <w:t xml:space="preserve">wynosi 3 lata od </w:t>
            </w:r>
            <w:r>
              <w:rPr>
                <w:rFonts w:ascii="Arial" w:eastAsia="Times New Roman" w:hAnsi="Arial" w:cs="Arial"/>
                <w:sz w:val="18"/>
                <w:szCs w:val="18"/>
                <w:lang w:eastAsia="pl-PL"/>
              </w:rPr>
              <w:t xml:space="preserve">złożenia </w:t>
            </w:r>
            <w:r w:rsidRPr="007878F4">
              <w:rPr>
                <w:rFonts w:ascii="Arial" w:eastAsia="Times New Roman" w:hAnsi="Arial" w:cs="Arial"/>
                <w:sz w:val="18"/>
                <w:szCs w:val="18"/>
                <w:lang w:eastAsia="pl-PL"/>
              </w:rPr>
              <w:t>wniosku o płatność końcową.</w:t>
            </w:r>
            <w:r w:rsidRPr="007654DC">
              <w:t xml:space="preserve">  </w:t>
            </w:r>
          </w:p>
        </w:tc>
      </w:tr>
      <w:tr w:rsidR="00BE0E47" w:rsidRPr="009754D9" w:rsidTr="003E536A">
        <w:trPr>
          <w:cnfStyle w:val="000000010000"/>
          <w:trHeight w:val="585"/>
        </w:trPr>
        <w:tc>
          <w:tcPr>
            <w:cnfStyle w:val="001000000000"/>
            <w:tcW w:w="3030" w:type="dxa"/>
            <w:vAlign w:val="center"/>
            <w:hideMark/>
          </w:tcPr>
          <w:p w:rsidR="00BE0E47" w:rsidRPr="009754D9" w:rsidRDefault="00BE0E47" w:rsidP="00BE0E47">
            <w:pPr>
              <w:jc w:val="left"/>
              <w:rPr>
                <w:rFonts w:ascii="Arial" w:hAnsi="Arial" w:cs="Arial"/>
                <w:sz w:val="18"/>
                <w:szCs w:val="18"/>
              </w:rPr>
            </w:pPr>
            <w:r w:rsidRPr="009754D9">
              <w:rPr>
                <w:rFonts w:ascii="Arial" w:hAnsi="Arial" w:cs="Arial"/>
                <w:sz w:val="18"/>
                <w:szCs w:val="18"/>
              </w:rPr>
              <w:lastRenderedPageBreak/>
              <w:t>Liczba utrzymanych miejsc pracy</w:t>
            </w:r>
          </w:p>
        </w:tc>
        <w:tc>
          <w:tcPr>
            <w:tcW w:w="1107" w:type="dxa"/>
            <w:vAlign w:val="center"/>
            <w:hideMark/>
          </w:tcPr>
          <w:p w:rsidR="00BE0E47" w:rsidRPr="009754D9" w:rsidRDefault="00BE0E47" w:rsidP="00BE0E47">
            <w:pPr>
              <w:jc w:val="left"/>
              <w:cnfStyle w:val="000000010000"/>
              <w:rPr>
                <w:rFonts w:ascii="Arial" w:hAnsi="Arial" w:cs="Arial"/>
                <w:sz w:val="18"/>
                <w:szCs w:val="18"/>
              </w:rPr>
            </w:pPr>
            <w:r w:rsidRPr="009754D9">
              <w:rPr>
                <w:rFonts w:ascii="Arial" w:hAnsi="Arial" w:cs="Arial"/>
                <w:sz w:val="18"/>
                <w:szCs w:val="18"/>
              </w:rPr>
              <w:t>EPC</w:t>
            </w:r>
          </w:p>
        </w:tc>
        <w:tc>
          <w:tcPr>
            <w:tcW w:w="1197" w:type="dxa"/>
            <w:vAlign w:val="center"/>
          </w:tcPr>
          <w:p w:rsidR="00BE0E47" w:rsidRPr="009754D9" w:rsidRDefault="00BE0E47" w:rsidP="00BE0E47">
            <w:pPr>
              <w:jc w:val="left"/>
              <w:cnfStyle w:val="000000010000"/>
              <w:rPr>
                <w:rFonts w:ascii="Arial" w:eastAsia="Times New Roman" w:hAnsi="Arial" w:cs="Arial"/>
                <w:sz w:val="18"/>
                <w:szCs w:val="18"/>
                <w:lang w:eastAsia="pl-PL"/>
              </w:rPr>
            </w:pPr>
            <w:r w:rsidRPr="009754D9">
              <w:rPr>
                <w:rFonts w:ascii="Arial" w:eastAsia="Times New Roman" w:hAnsi="Arial" w:cs="Arial"/>
                <w:sz w:val="18"/>
                <w:szCs w:val="18"/>
                <w:lang w:eastAsia="pl-PL"/>
              </w:rPr>
              <w:t>rezultat bezpośredni</w:t>
            </w:r>
          </w:p>
        </w:tc>
        <w:tc>
          <w:tcPr>
            <w:tcW w:w="1043" w:type="dxa"/>
            <w:vAlign w:val="center"/>
          </w:tcPr>
          <w:p w:rsidR="00BE0E47" w:rsidRPr="009754D9" w:rsidRDefault="00BE0E47" w:rsidP="00BE0E47">
            <w:pPr>
              <w:jc w:val="left"/>
              <w:cnfStyle w:val="000000010000"/>
              <w:rPr>
                <w:rFonts w:ascii="Arial" w:eastAsia="Times New Roman" w:hAnsi="Arial" w:cs="Arial"/>
                <w:sz w:val="18"/>
                <w:szCs w:val="18"/>
                <w:lang w:eastAsia="pl-PL"/>
              </w:rPr>
            </w:pPr>
            <w:r w:rsidRPr="009754D9">
              <w:rPr>
                <w:rFonts w:ascii="Arial" w:eastAsia="Times New Roman" w:hAnsi="Arial" w:cs="Arial"/>
                <w:sz w:val="18"/>
                <w:szCs w:val="18"/>
                <w:lang w:eastAsia="pl-PL"/>
              </w:rPr>
              <w:t>kluczowy - krajowy</w:t>
            </w:r>
          </w:p>
        </w:tc>
        <w:tc>
          <w:tcPr>
            <w:tcW w:w="964" w:type="dxa"/>
            <w:vAlign w:val="center"/>
          </w:tcPr>
          <w:p w:rsidR="00BE0E47" w:rsidRPr="009754D9" w:rsidRDefault="00BE0E47" w:rsidP="00BE0E47">
            <w:pPr>
              <w:jc w:val="left"/>
              <w:cnfStyle w:val="000000010000"/>
              <w:rPr>
                <w:rFonts w:ascii="Arial" w:eastAsia="Times New Roman" w:hAnsi="Arial" w:cs="Arial"/>
                <w:sz w:val="18"/>
                <w:szCs w:val="18"/>
                <w:lang w:eastAsia="pl-PL"/>
              </w:rPr>
            </w:pPr>
            <w:r w:rsidRPr="009754D9">
              <w:rPr>
                <w:rFonts w:ascii="Arial" w:eastAsia="Times New Roman" w:hAnsi="Arial" w:cs="Arial"/>
                <w:sz w:val="18"/>
                <w:szCs w:val="18"/>
                <w:lang w:eastAsia="pl-PL"/>
              </w:rPr>
              <w:t>projekt</w:t>
            </w:r>
          </w:p>
        </w:tc>
        <w:tc>
          <w:tcPr>
            <w:tcW w:w="1287" w:type="dxa"/>
            <w:vAlign w:val="center"/>
          </w:tcPr>
          <w:p w:rsidR="00BE0E47" w:rsidRPr="009754D9" w:rsidRDefault="00BE0E47" w:rsidP="00BE0E47">
            <w:pPr>
              <w:jc w:val="left"/>
              <w:cnfStyle w:val="000000010000"/>
              <w:rPr>
                <w:rFonts w:ascii="Arial" w:eastAsia="Times New Roman" w:hAnsi="Arial" w:cs="Arial"/>
                <w:sz w:val="18"/>
                <w:szCs w:val="18"/>
                <w:lang w:eastAsia="pl-PL"/>
              </w:rPr>
            </w:pPr>
            <w:r w:rsidRPr="009754D9">
              <w:rPr>
                <w:rFonts w:ascii="Arial" w:eastAsia="Times New Roman" w:hAnsi="Arial" w:cs="Arial"/>
                <w:sz w:val="18"/>
                <w:szCs w:val="18"/>
                <w:lang w:eastAsia="pl-PL"/>
              </w:rPr>
              <w:t>informacyjny</w:t>
            </w:r>
          </w:p>
        </w:tc>
        <w:tc>
          <w:tcPr>
            <w:tcW w:w="1261" w:type="dxa"/>
            <w:vAlign w:val="center"/>
          </w:tcPr>
          <w:p w:rsidR="00BE0E47" w:rsidRPr="009754D9" w:rsidRDefault="00BE0E47" w:rsidP="00BE0E47">
            <w:pPr>
              <w:jc w:val="left"/>
              <w:cnfStyle w:val="000000010000"/>
              <w:rPr>
                <w:rFonts w:ascii="Arial" w:eastAsia="Times New Roman" w:hAnsi="Arial" w:cs="Arial"/>
                <w:sz w:val="18"/>
                <w:szCs w:val="18"/>
                <w:lang w:eastAsia="pl-PL"/>
              </w:rPr>
            </w:pPr>
          </w:p>
        </w:tc>
        <w:tc>
          <w:tcPr>
            <w:tcW w:w="4253" w:type="dxa"/>
          </w:tcPr>
          <w:p w:rsidR="00BE0E47" w:rsidRDefault="00BE0E47" w:rsidP="00BE0E47">
            <w:pPr>
              <w:jc w:val="left"/>
              <w:cnfStyle w:val="000000010000"/>
              <w:rPr>
                <w:rFonts w:ascii="Arial" w:eastAsia="Times New Roman" w:hAnsi="Arial" w:cs="Arial"/>
                <w:sz w:val="18"/>
                <w:szCs w:val="18"/>
                <w:lang w:eastAsia="pl-PL"/>
              </w:rPr>
            </w:pPr>
            <w:r w:rsidRPr="00E00A6F">
              <w:rPr>
                <w:rFonts w:ascii="Arial" w:eastAsia="Times New Roman" w:hAnsi="Arial" w:cs="Arial"/>
                <w:sz w:val="18"/>
                <w:szCs w:val="18"/>
                <w:lang w:eastAsia="pl-PL"/>
              </w:rPr>
              <w:t xml:space="preserve">Nowo utworzone miejsca pracy </w:t>
            </w:r>
            <w:r>
              <w:rPr>
                <w:rFonts w:ascii="Arial" w:eastAsia="Times New Roman" w:hAnsi="Arial" w:cs="Arial"/>
                <w:sz w:val="18"/>
                <w:szCs w:val="18"/>
                <w:lang w:eastAsia="pl-PL"/>
              </w:rPr>
              <w:t xml:space="preserve">w wyniku projektu, które nie powodują wzrostu zatrudnienia w organizacji, a więc nie spełniają definicji wskaźnika </w:t>
            </w:r>
            <w:r w:rsidRPr="007878F4">
              <w:rPr>
                <w:rFonts w:ascii="Arial" w:hAnsi="Arial" w:cs="Arial"/>
                <w:i/>
                <w:sz w:val="18"/>
                <w:szCs w:val="18"/>
              </w:rPr>
              <w:t>Wzrost zatrudnienia we wspieranych podmiotach (innych niż przedsiębiorstwa</w:t>
            </w:r>
            <w:r w:rsidRPr="009754D9">
              <w:rPr>
                <w:rFonts w:ascii="Arial" w:hAnsi="Arial" w:cs="Arial"/>
                <w:sz w:val="18"/>
                <w:szCs w:val="18"/>
              </w:rPr>
              <w:t>)</w:t>
            </w:r>
            <w:r>
              <w:rPr>
                <w:rFonts w:ascii="Arial" w:eastAsia="Times New Roman" w:hAnsi="Arial" w:cs="Arial"/>
                <w:sz w:val="18"/>
                <w:szCs w:val="18"/>
                <w:lang w:eastAsia="pl-PL"/>
              </w:rPr>
              <w:t xml:space="preserve"> tylko w tym zakresie.</w:t>
            </w:r>
          </w:p>
          <w:p w:rsidR="00BE0E47" w:rsidRDefault="00BE0E47" w:rsidP="00BE0E47">
            <w:pPr>
              <w:jc w:val="left"/>
              <w:cnfStyle w:val="000000010000"/>
              <w:rPr>
                <w:rFonts w:ascii="Arial" w:eastAsia="Times New Roman" w:hAnsi="Arial" w:cs="Arial"/>
                <w:sz w:val="18"/>
                <w:szCs w:val="18"/>
                <w:lang w:eastAsia="pl-PL"/>
              </w:rPr>
            </w:pPr>
            <w:r w:rsidRPr="00EE7540">
              <w:rPr>
                <w:rFonts w:ascii="Arial" w:eastAsia="Times New Roman" w:hAnsi="Arial" w:cs="Arial"/>
                <w:sz w:val="18"/>
                <w:szCs w:val="18"/>
                <w:lang w:eastAsia="pl-PL"/>
              </w:rPr>
              <w:t xml:space="preserve">Ekwiwalent pełnego czasu pracy: Praca może być </w:t>
            </w:r>
            <w:r>
              <w:rPr>
                <w:rFonts w:ascii="Arial" w:eastAsia="Times New Roman" w:hAnsi="Arial" w:cs="Arial"/>
                <w:sz w:val="18"/>
                <w:szCs w:val="18"/>
                <w:lang w:eastAsia="pl-PL"/>
              </w:rPr>
              <w:t xml:space="preserve">wykonywana </w:t>
            </w:r>
            <w:r w:rsidRPr="00EE7540">
              <w:rPr>
                <w:rFonts w:ascii="Arial" w:eastAsia="Times New Roman" w:hAnsi="Arial" w:cs="Arial"/>
                <w:sz w:val="18"/>
                <w:szCs w:val="18"/>
                <w:lang w:eastAsia="pl-PL"/>
              </w:rPr>
              <w:t>na pełen etat, w niepełnym wymiarze czasu pracy lub sezonowa. Sezonowe i niepełne etaty zostaną przeliczone na EPC za pomocą standardów Międzynarodowej Organizacji Pracy</w:t>
            </w:r>
            <w:r>
              <w:rPr>
                <w:rFonts w:ascii="Arial" w:eastAsia="Times New Roman" w:hAnsi="Arial" w:cs="Arial"/>
                <w:sz w:val="18"/>
                <w:szCs w:val="18"/>
                <w:lang w:eastAsia="pl-PL"/>
              </w:rPr>
              <w:t xml:space="preserve"> </w:t>
            </w:r>
            <w:r w:rsidRPr="00EE7540">
              <w:rPr>
                <w:rFonts w:ascii="Arial" w:eastAsia="Times New Roman" w:hAnsi="Arial" w:cs="Arial"/>
                <w:sz w:val="18"/>
                <w:szCs w:val="18"/>
                <w:lang w:eastAsia="pl-PL"/>
              </w:rPr>
              <w:t>/ statystycznych / innych.</w:t>
            </w:r>
          </w:p>
          <w:p w:rsidR="00BE0E47" w:rsidRPr="009432C8" w:rsidRDefault="00BE0E47" w:rsidP="00BE0E47">
            <w:pPr>
              <w:jc w:val="left"/>
              <w:cnfStyle w:val="000000010000"/>
              <w:rPr>
                <w:rFonts w:ascii="Arial" w:eastAsia="Times New Roman" w:hAnsi="Arial" w:cs="Arial"/>
                <w:sz w:val="18"/>
                <w:szCs w:val="18"/>
                <w:highlight w:val="green"/>
                <w:lang w:eastAsia="pl-PL"/>
              </w:rPr>
            </w:pPr>
            <w:r>
              <w:rPr>
                <w:rFonts w:ascii="Arial" w:eastAsia="Times New Roman" w:hAnsi="Arial" w:cs="Arial"/>
                <w:sz w:val="18"/>
                <w:szCs w:val="18"/>
                <w:lang w:eastAsia="pl-PL"/>
              </w:rPr>
              <w:t>Trwałość:</w:t>
            </w:r>
            <w:r w:rsidRPr="007878F4">
              <w:rPr>
                <w:rFonts w:ascii="Arial" w:eastAsia="Times New Roman" w:hAnsi="Arial" w:cs="Arial"/>
                <w:sz w:val="18"/>
                <w:szCs w:val="18"/>
                <w:lang w:eastAsia="pl-PL"/>
              </w:rPr>
              <w:t xml:space="preserve"> Zgodnie z art. 71 rozporządzenia ogólnego zachowanie trwałości </w:t>
            </w:r>
            <w:r w:rsidRPr="007878F4">
              <w:rPr>
                <w:rFonts w:ascii="Arial" w:eastAsia="Times New Roman" w:hAnsi="Arial" w:cs="Arial"/>
                <w:b/>
                <w:sz w:val="18"/>
                <w:szCs w:val="18"/>
                <w:lang w:eastAsia="pl-PL"/>
              </w:rPr>
              <w:t>miejsc pracy</w:t>
            </w:r>
            <w:r w:rsidRPr="007878F4">
              <w:rPr>
                <w:rFonts w:ascii="Arial" w:eastAsia="Times New Roman" w:hAnsi="Arial" w:cs="Arial"/>
                <w:sz w:val="18"/>
                <w:szCs w:val="18"/>
                <w:lang w:eastAsia="pl-PL"/>
              </w:rPr>
              <w:t xml:space="preserve"> wynosi 3 lata od </w:t>
            </w:r>
            <w:r>
              <w:rPr>
                <w:rFonts w:ascii="Arial" w:eastAsia="Times New Roman" w:hAnsi="Arial" w:cs="Arial"/>
                <w:sz w:val="18"/>
                <w:szCs w:val="18"/>
                <w:lang w:eastAsia="pl-PL"/>
              </w:rPr>
              <w:t xml:space="preserve">złożenia </w:t>
            </w:r>
            <w:r w:rsidRPr="007878F4">
              <w:rPr>
                <w:rFonts w:ascii="Arial" w:eastAsia="Times New Roman" w:hAnsi="Arial" w:cs="Arial"/>
                <w:sz w:val="18"/>
                <w:szCs w:val="18"/>
                <w:lang w:eastAsia="pl-PL"/>
              </w:rPr>
              <w:t>wniosku o płatność końcową.</w:t>
            </w:r>
          </w:p>
        </w:tc>
      </w:tr>
      <w:tr w:rsidR="00BE0E47" w:rsidRPr="009754D9" w:rsidTr="003E536A">
        <w:trPr>
          <w:cnfStyle w:val="000000100000"/>
          <w:trHeight w:val="585"/>
        </w:trPr>
        <w:tc>
          <w:tcPr>
            <w:cnfStyle w:val="001000000000"/>
            <w:tcW w:w="3030" w:type="dxa"/>
            <w:vAlign w:val="center"/>
            <w:hideMark/>
          </w:tcPr>
          <w:p w:rsidR="00BE0E47" w:rsidRPr="009754D9" w:rsidRDefault="00BE0E47" w:rsidP="00BE0E47">
            <w:pPr>
              <w:jc w:val="left"/>
              <w:rPr>
                <w:rFonts w:ascii="Arial" w:hAnsi="Arial" w:cs="Arial"/>
                <w:sz w:val="18"/>
                <w:szCs w:val="18"/>
              </w:rPr>
            </w:pPr>
            <w:r w:rsidRPr="009754D9">
              <w:rPr>
                <w:rFonts w:ascii="Arial" w:hAnsi="Arial" w:cs="Arial"/>
                <w:sz w:val="18"/>
                <w:szCs w:val="18"/>
              </w:rPr>
              <w:t>Liczba nowo utworzonych miejsc pracy - pozostałe formy</w:t>
            </w:r>
          </w:p>
        </w:tc>
        <w:tc>
          <w:tcPr>
            <w:tcW w:w="1107" w:type="dxa"/>
            <w:vAlign w:val="center"/>
            <w:hideMark/>
          </w:tcPr>
          <w:p w:rsidR="00BE0E47" w:rsidRPr="009754D9" w:rsidRDefault="00BE0E47" w:rsidP="00BE0E47">
            <w:pPr>
              <w:jc w:val="left"/>
              <w:cnfStyle w:val="000000100000"/>
              <w:rPr>
                <w:rFonts w:ascii="Arial" w:hAnsi="Arial" w:cs="Arial"/>
                <w:sz w:val="18"/>
                <w:szCs w:val="18"/>
              </w:rPr>
            </w:pPr>
            <w:r w:rsidRPr="009754D9">
              <w:rPr>
                <w:rFonts w:ascii="Arial" w:hAnsi="Arial" w:cs="Arial"/>
                <w:sz w:val="18"/>
                <w:szCs w:val="18"/>
              </w:rPr>
              <w:t>EPC</w:t>
            </w:r>
          </w:p>
        </w:tc>
        <w:tc>
          <w:tcPr>
            <w:tcW w:w="1197" w:type="dxa"/>
            <w:vAlign w:val="center"/>
          </w:tcPr>
          <w:p w:rsidR="00BE0E47" w:rsidRPr="009754D9" w:rsidRDefault="00BE0E47" w:rsidP="00BE0E47">
            <w:pPr>
              <w:jc w:val="left"/>
              <w:cnfStyle w:val="000000100000"/>
              <w:rPr>
                <w:rFonts w:ascii="Arial" w:eastAsia="Times New Roman" w:hAnsi="Arial" w:cs="Arial"/>
                <w:sz w:val="18"/>
                <w:szCs w:val="18"/>
                <w:lang w:eastAsia="pl-PL"/>
              </w:rPr>
            </w:pPr>
            <w:r w:rsidRPr="009754D9">
              <w:rPr>
                <w:rFonts w:ascii="Arial" w:eastAsia="Times New Roman" w:hAnsi="Arial" w:cs="Arial"/>
                <w:sz w:val="18"/>
                <w:szCs w:val="18"/>
                <w:lang w:eastAsia="pl-PL"/>
              </w:rPr>
              <w:t>rezultat bezpośredni</w:t>
            </w:r>
          </w:p>
        </w:tc>
        <w:tc>
          <w:tcPr>
            <w:tcW w:w="1043" w:type="dxa"/>
            <w:vAlign w:val="center"/>
          </w:tcPr>
          <w:p w:rsidR="00BE0E47" w:rsidRPr="009754D9" w:rsidRDefault="00BE0E47" w:rsidP="00BE0E47">
            <w:pPr>
              <w:jc w:val="left"/>
              <w:cnfStyle w:val="000000100000"/>
              <w:rPr>
                <w:rFonts w:ascii="Arial" w:eastAsia="Times New Roman" w:hAnsi="Arial" w:cs="Arial"/>
                <w:sz w:val="18"/>
                <w:szCs w:val="18"/>
                <w:lang w:eastAsia="pl-PL"/>
              </w:rPr>
            </w:pPr>
            <w:r w:rsidRPr="009754D9">
              <w:rPr>
                <w:rFonts w:ascii="Arial" w:eastAsia="Times New Roman" w:hAnsi="Arial" w:cs="Arial"/>
                <w:sz w:val="18"/>
                <w:szCs w:val="18"/>
                <w:lang w:eastAsia="pl-PL"/>
              </w:rPr>
              <w:t>kluczowy - krajowy</w:t>
            </w:r>
          </w:p>
        </w:tc>
        <w:tc>
          <w:tcPr>
            <w:tcW w:w="964" w:type="dxa"/>
            <w:vAlign w:val="center"/>
          </w:tcPr>
          <w:p w:rsidR="00BE0E47" w:rsidRPr="009754D9" w:rsidRDefault="00BE0E47" w:rsidP="00BE0E47">
            <w:pPr>
              <w:jc w:val="left"/>
              <w:cnfStyle w:val="000000100000"/>
              <w:rPr>
                <w:rFonts w:ascii="Arial" w:eastAsia="Times New Roman" w:hAnsi="Arial" w:cs="Arial"/>
                <w:sz w:val="18"/>
                <w:szCs w:val="18"/>
                <w:lang w:eastAsia="pl-PL"/>
              </w:rPr>
            </w:pPr>
            <w:r w:rsidRPr="009754D9">
              <w:rPr>
                <w:rFonts w:ascii="Arial" w:eastAsia="Times New Roman" w:hAnsi="Arial" w:cs="Arial"/>
                <w:sz w:val="18"/>
                <w:szCs w:val="18"/>
                <w:lang w:eastAsia="pl-PL"/>
              </w:rPr>
              <w:t>projekt</w:t>
            </w:r>
          </w:p>
        </w:tc>
        <w:tc>
          <w:tcPr>
            <w:tcW w:w="1287" w:type="dxa"/>
            <w:vAlign w:val="center"/>
          </w:tcPr>
          <w:p w:rsidR="00BE0E47" w:rsidRPr="009754D9" w:rsidRDefault="00BE0E47" w:rsidP="00BE0E47">
            <w:pPr>
              <w:jc w:val="left"/>
              <w:cnfStyle w:val="000000100000"/>
              <w:rPr>
                <w:rFonts w:ascii="Arial" w:eastAsia="Times New Roman" w:hAnsi="Arial" w:cs="Arial"/>
                <w:sz w:val="18"/>
                <w:szCs w:val="18"/>
                <w:lang w:eastAsia="pl-PL"/>
              </w:rPr>
            </w:pPr>
            <w:r w:rsidRPr="009754D9">
              <w:rPr>
                <w:rFonts w:ascii="Arial" w:eastAsia="Times New Roman" w:hAnsi="Arial" w:cs="Arial"/>
                <w:sz w:val="18"/>
                <w:szCs w:val="18"/>
                <w:lang w:eastAsia="pl-PL"/>
              </w:rPr>
              <w:t>informacyjny</w:t>
            </w:r>
          </w:p>
        </w:tc>
        <w:tc>
          <w:tcPr>
            <w:tcW w:w="1261" w:type="dxa"/>
            <w:vAlign w:val="center"/>
          </w:tcPr>
          <w:p w:rsidR="00BE0E47" w:rsidRPr="009754D9" w:rsidRDefault="00BE0E47" w:rsidP="00BE0E47">
            <w:pPr>
              <w:jc w:val="left"/>
              <w:cnfStyle w:val="000000100000"/>
              <w:rPr>
                <w:rFonts w:ascii="Arial" w:eastAsia="Times New Roman" w:hAnsi="Arial" w:cs="Arial"/>
                <w:sz w:val="18"/>
                <w:szCs w:val="18"/>
                <w:lang w:eastAsia="pl-PL"/>
              </w:rPr>
            </w:pPr>
          </w:p>
        </w:tc>
        <w:tc>
          <w:tcPr>
            <w:tcW w:w="4253" w:type="dxa"/>
          </w:tcPr>
          <w:p w:rsidR="00BE0E47" w:rsidRPr="009432C8" w:rsidRDefault="00BE0E47" w:rsidP="00BE0E47">
            <w:pPr>
              <w:jc w:val="left"/>
              <w:cnfStyle w:val="000000100000"/>
              <w:rPr>
                <w:rFonts w:ascii="Arial" w:eastAsia="Times New Roman" w:hAnsi="Arial" w:cs="Arial"/>
                <w:sz w:val="18"/>
                <w:szCs w:val="18"/>
                <w:highlight w:val="green"/>
                <w:lang w:eastAsia="pl-PL"/>
              </w:rPr>
            </w:pPr>
            <w:r w:rsidRPr="00E00A6F">
              <w:rPr>
                <w:rFonts w:ascii="Arial" w:eastAsia="Times New Roman" w:hAnsi="Arial" w:cs="Arial"/>
                <w:sz w:val="18"/>
                <w:szCs w:val="18"/>
                <w:lang w:eastAsia="pl-PL"/>
              </w:rPr>
              <w:t xml:space="preserve">Nowo utworzone miejsce pracy </w:t>
            </w:r>
            <w:r>
              <w:rPr>
                <w:rFonts w:ascii="Arial" w:eastAsia="Times New Roman" w:hAnsi="Arial" w:cs="Arial"/>
                <w:sz w:val="18"/>
                <w:szCs w:val="18"/>
                <w:lang w:eastAsia="pl-PL"/>
              </w:rPr>
              <w:t xml:space="preserve">w wyniku realizacji projektu, nie spełniające żadnej z ww. definicji wskaźników (ani wskaźnika </w:t>
            </w:r>
            <w:r w:rsidRPr="0027332F">
              <w:rPr>
                <w:rFonts w:ascii="Arial" w:hAnsi="Arial" w:cs="Arial"/>
                <w:i/>
                <w:sz w:val="18"/>
                <w:szCs w:val="18"/>
              </w:rPr>
              <w:t xml:space="preserve"> Wzrost zatrudnienia we wspieranych podmiotach (innych niż przedsiębiorstwa</w:t>
            </w:r>
            <w:r w:rsidRPr="009754D9">
              <w:rPr>
                <w:rFonts w:ascii="Arial" w:hAnsi="Arial" w:cs="Arial"/>
                <w:sz w:val="18"/>
                <w:szCs w:val="18"/>
              </w:rPr>
              <w:t>)</w:t>
            </w:r>
            <w:r>
              <w:rPr>
                <w:rFonts w:ascii="Arial" w:hAnsi="Arial" w:cs="Arial"/>
                <w:sz w:val="18"/>
                <w:szCs w:val="18"/>
              </w:rPr>
              <w:t xml:space="preserve">, ani wskaźnika </w:t>
            </w:r>
            <w:r w:rsidRPr="009754D9">
              <w:rPr>
                <w:rFonts w:ascii="Arial" w:hAnsi="Arial" w:cs="Arial"/>
                <w:sz w:val="18"/>
                <w:szCs w:val="18"/>
              </w:rPr>
              <w:t xml:space="preserve"> </w:t>
            </w:r>
            <w:r w:rsidRPr="007878F4">
              <w:rPr>
                <w:rFonts w:ascii="Arial" w:hAnsi="Arial" w:cs="Arial"/>
                <w:i/>
                <w:sz w:val="18"/>
                <w:szCs w:val="18"/>
              </w:rPr>
              <w:t>Liczba utrzymanych miejsc pracy</w:t>
            </w:r>
            <w:r>
              <w:rPr>
                <w:rFonts w:ascii="Arial" w:hAnsi="Arial" w:cs="Arial"/>
                <w:sz w:val="18"/>
                <w:szCs w:val="18"/>
              </w:rPr>
              <w:t>)</w:t>
            </w:r>
            <w:r>
              <w:rPr>
                <w:rFonts w:ascii="Arial" w:eastAsia="Times New Roman" w:hAnsi="Arial" w:cs="Arial"/>
                <w:sz w:val="18"/>
                <w:szCs w:val="18"/>
                <w:lang w:eastAsia="pl-PL"/>
              </w:rPr>
              <w:t>. Do wskaźnika wlicza się np. umowy cywilnoprawne, miejsca pracy do obsługi projektu, nietrwałe miejsca pracy itp.</w:t>
            </w:r>
          </w:p>
        </w:tc>
      </w:tr>
      <w:tr w:rsidR="00A50357" w:rsidRPr="009754D9" w:rsidTr="003E536A">
        <w:trPr>
          <w:cnfStyle w:val="000000010000"/>
          <w:trHeight w:val="585"/>
        </w:trPr>
        <w:tc>
          <w:tcPr>
            <w:cnfStyle w:val="001000000000"/>
            <w:tcW w:w="3030" w:type="dxa"/>
            <w:vAlign w:val="center"/>
            <w:hideMark/>
          </w:tcPr>
          <w:p w:rsidR="00BE0E47" w:rsidRPr="009754D9" w:rsidRDefault="00BE0E47" w:rsidP="00BE0E47">
            <w:pPr>
              <w:jc w:val="left"/>
              <w:rPr>
                <w:rFonts w:ascii="Arial" w:hAnsi="Arial" w:cs="Arial"/>
                <w:sz w:val="18"/>
                <w:szCs w:val="18"/>
              </w:rPr>
            </w:pPr>
            <w:r w:rsidRPr="009754D9">
              <w:rPr>
                <w:rFonts w:ascii="Arial" w:hAnsi="Arial" w:cs="Arial"/>
                <w:sz w:val="18"/>
                <w:szCs w:val="18"/>
              </w:rPr>
              <w:t>Liczba osób objętych szkoleniami / doradztwem w zakresie kompetencji cyfrowych</w:t>
            </w:r>
          </w:p>
        </w:tc>
        <w:tc>
          <w:tcPr>
            <w:tcW w:w="1107" w:type="dxa"/>
            <w:vAlign w:val="center"/>
            <w:hideMark/>
          </w:tcPr>
          <w:p w:rsidR="00BE0E47" w:rsidRPr="009754D9" w:rsidRDefault="00BE0E47" w:rsidP="00BE0E47">
            <w:pPr>
              <w:jc w:val="left"/>
              <w:cnfStyle w:val="000000010000"/>
              <w:rPr>
                <w:rFonts w:ascii="Arial" w:hAnsi="Arial" w:cs="Arial"/>
                <w:sz w:val="18"/>
                <w:szCs w:val="18"/>
              </w:rPr>
            </w:pPr>
            <w:r w:rsidRPr="009754D9">
              <w:rPr>
                <w:rFonts w:ascii="Arial" w:hAnsi="Arial" w:cs="Arial"/>
                <w:sz w:val="18"/>
                <w:szCs w:val="18"/>
              </w:rPr>
              <w:t>osoby</w:t>
            </w:r>
          </w:p>
        </w:tc>
        <w:tc>
          <w:tcPr>
            <w:tcW w:w="1197" w:type="dxa"/>
            <w:vAlign w:val="center"/>
          </w:tcPr>
          <w:p w:rsidR="00BE0E47" w:rsidRPr="009754D9" w:rsidRDefault="00BE0E47" w:rsidP="00BE0E47">
            <w:pPr>
              <w:jc w:val="left"/>
              <w:cnfStyle w:val="000000010000"/>
              <w:rPr>
                <w:rFonts w:ascii="Arial" w:eastAsia="Times New Roman" w:hAnsi="Arial" w:cs="Arial"/>
                <w:sz w:val="18"/>
                <w:szCs w:val="18"/>
                <w:lang w:eastAsia="pl-PL"/>
              </w:rPr>
            </w:pPr>
            <w:r w:rsidRPr="009754D9">
              <w:rPr>
                <w:rFonts w:ascii="Arial" w:eastAsia="Times New Roman" w:hAnsi="Arial" w:cs="Arial"/>
                <w:sz w:val="18"/>
                <w:szCs w:val="18"/>
                <w:lang w:eastAsia="pl-PL"/>
              </w:rPr>
              <w:t>produkt</w:t>
            </w:r>
          </w:p>
        </w:tc>
        <w:tc>
          <w:tcPr>
            <w:tcW w:w="1043" w:type="dxa"/>
            <w:vAlign w:val="center"/>
          </w:tcPr>
          <w:p w:rsidR="00BE0E47" w:rsidRPr="009754D9" w:rsidRDefault="00BE0E47" w:rsidP="00BE0E47">
            <w:pPr>
              <w:jc w:val="left"/>
              <w:cnfStyle w:val="000000010000"/>
              <w:rPr>
                <w:rFonts w:ascii="Arial" w:eastAsia="Times New Roman" w:hAnsi="Arial" w:cs="Arial"/>
                <w:sz w:val="18"/>
                <w:szCs w:val="18"/>
                <w:lang w:eastAsia="pl-PL"/>
              </w:rPr>
            </w:pPr>
            <w:r w:rsidRPr="009754D9">
              <w:rPr>
                <w:rFonts w:ascii="Arial" w:eastAsia="Times New Roman" w:hAnsi="Arial" w:cs="Arial"/>
                <w:sz w:val="18"/>
                <w:szCs w:val="18"/>
                <w:lang w:eastAsia="pl-PL"/>
              </w:rPr>
              <w:t>kluczowy - krajowy</w:t>
            </w:r>
          </w:p>
        </w:tc>
        <w:tc>
          <w:tcPr>
            <w:tcW w:w="964" w:type="dxa"/>
            <w:vAlign w:val="center"/>
          </w:tcPr>
          <w:p w:rsidR="00BE0E47" w:rsidRPr="009754D9" w:rsidRDefault="00BE0E47" w:rsidP="00BE0E47">
            <w:pPr>
              <w:jc w:val="left"/>
              <w:cnfStyle w:val="000000010000"/>
              <w:rPr>
                <w:rFonts w:ascii="Arial" w:eastAsia="Times New Roman" w:hAnsi="Arial" w:cs="Arial"/>
                <w:sz w:val="18"/>
                <w:szCs w:val="18"/>
                <w:lang w:eastAsia="pl-PL"/>
              </w:rPr>
            </w:pPr>
            <w:r w:rsidRPr="009754D9">
              <w:rPr>
                <w:rFonts w:ascii="Arial" w:eastAsia="Times New Roman" w:hAnsi="Arial" w:cs="Arial"/>
                <w:sz w:val="18"/>
                <w:szCs w:val="18"/>
                <w:lang w:eastAsia="pl-PL"/>
              </w:rPr>
              <w:t>projekt</w:t>
            </w:r>
          </w:p>
        </w:tc>
        <w:tc>
          <w:tcPr>
            <w:tcW w:w="1287" w:type="dxa"/>
            <w:vAlign w:val="center"/>
          </w:tcPr>
          <w:p w:rsidR="00BE0E47" w:rsidRPr="009754D9" w:rsidRDefault="00BE0E47" w:rsidP="00BE0E47">
            <w:pPr>
              <w:jc w:val="left"/>
              <w:cnfStyle w:val="000000010000"/>
              <w:rPr>
                <w:rFonts w:ascii="Arial" w:eastAsia="Times New Roman" w:hAnsi="Arial" w:cs="Arial"/>
                <w:sz w:val="18"/>
                <w:szCs w:val="18"/>
                <w:lang w:eastAsia="pl-PL"/>
              </w:rPr>
            </w:pPr>
            <w:r w:rsidRPr="009754D9">
              <w:rPr>
                <w:rFonts w:ascii="Arial" w:eastAsia="Times New Roman" w:hAnsi="Arial" w:cs="Arial"/>
                <w:sz w:val="18"/>
                <w:szCs w:val="18"/>
                <w:lang w:eastAsia="pl-PL"/>
              </w:rPr>
              <w:t>informacyjny</w:t>
            </w:r>
          </w:p>
        </w:tc>
        <w:tc>
          <w:tcPr>
            <w:tcW w:w="1261" w:type="dxa"/>
            <w:vAlign w:val="center"/>
          </w:tcPr>
          <w:p w:rsidR="00BE0E47" w:rsidRPr="009754D9" w:rsidRDefault="00BE0E47" w:rsidP="00BE0E47">
            <w:pPr>
              <w:jc w:val="left"/>
              <w:cnfStyle w:val="000000010000"/>
              <w:rPr>
                <w:rFonts w:ascii="Arial" w:eastAsia="Times New Roman" w:hAnsi="Arial" w:cs="Arial"/>
                <w:sz w:val="18"/>
                <w:szCs w:val="18"/>
                <w:lang w:eastAsia="pl-PL"/>
              </w:rPr>
            </w:pPr>
          </w:p>
        </w:tc>
        <w:tc>
          <w:tcPr>
            <w:tcW w:w="4253" w:type="dxa"/>
          </w:tcPr>
          <w:p w:rsidR="00BE0E47" w:rsidRDefault="00BE0E47" w:rsidP="00BE0E47">
            <w:pPr>
              <w:jc w:val="left"/>
              <w:cnfStyle w:val="000000010000"/>
              <w:rPr>
                <w:rFonts w:ascii="Arial" w:eastAsia="Times New Roman" w:hAnsi="Arial" w:cs="Arial"/>
                <w:sz w:val="18"/>
                <w:szCs w:val="18"/>
                <w:lang w:eastAsia="pl-PL"/>
              </w:rPr>
            </w:pPr>
            <w:r w:rsidRPr="009432C8">
              <w:rPr>
                <w:rFonts w:ascii="Arial" w:eastAsia="Times New Roman" w:hAnsi="Arial" w:cs="Arial"/>
                <w:sz w:val="18"/>
                <w:szCs w:val="18"/>
                <w:lang w:eastAsia="pl-PL"/>
              </w:rPr>
              <w:t>Liczba osób objętych szkoleniami / doradztwem w zakresie kompetencji cyfrowych</w:t>
            </w:r>
          </w:p>
          <w:p w:rsidR="00BE0E47" w:rsidRPr="009754D9" w:rsidRDefault="00BE0E47" w:rsidP="00BE0E47">
            <w:pPr>
              <w:jc w:val="left"/>
              <w:cnfStyle w:val="000000010000"/>
              <w:rPr>
                <w:rFonts w:ascii="Arial" w:eastAsia="Times New Roman" w:hAnsi="Arial" w:cs="Arial"/>
                <w:sz w:val="18"/>
                <w:szCs w:val="18"/>
                <w:lang w:eastAsia="pl-PL"/>
              </w:rPr>
            </w:pPr>
            <w:r>
              <w:rPr>
                <w:rFonts w:ascii="Arial" w:eastAsia="Times New Roman" w:hAnsi="Arial" w:cs="Arial"/>
                <w:sz w:val="18"/>
                <w:szCs w:val="18"/>
                <w:lang w:eastAsia="pl-PL"/>
              </w:rPr>
              <w:t>Przez kompetencje cyfrowe należy rozumieć umiejętności</w:t>
            </w:r>
            <w:r w:rsidRPr="00904B60">
              <w:rPr>
                <w:rFonts w:ascii="MyriadPro-Regular" w:hAnsi="MyriadPro-Regular" w:cs="MyriadPro-Regular"/>
                <w:sz w:val="18"/>
                <w:szCs w:val="18"/>
              </w:rPr>
              <w:t xml:space="preserve"> </w:t>
            </w:r>
            <w:r>
              <w:rPr>
                <w:rFonts w:ascii="Arial" w:eastAsia="Times New Roman" w:hAnsi="Arial" w:cs="Arial"/>
                <w:sz w:val="18"/>
                <w:szCs w:val="18"/>
                <w:lang w:eastAsia="pl-PL"/>
              </w:rPr>
              <w:t>korzystania</w:t>
            </w:r>
            <w:r w:rsidRPr="00904B60">
              <w:rPr>
                <w:rFonts w:ascii="Arial" w:eastAsia="Times New Roman" w:hAnsi="Arial" w:cs="Arial"/>
                <w:sz w:val="18"/>
                <w:szCs w:val="18"/>
                <w:lang w:eastAsia="pl-PL"/>
              </w:rPr>
              <w:t xml:space="preserve"> z technologii cyfrowych, swobodnego i krytycznego</w:t>
            </w:r>
            <w:r>
              <w:rPr>
                <w:rFonts w:ascii="Arial" w:eastAsia="Times New Roman" w:hAnsi="Arial" w:cs="Arial"/>
                <w:sz w:val="18"/>
                <w:szCs w:val="18"/>
                <w:lang w:eastAsia="pl-PL"/>
              </w:rPr>
              <w:t xml:space="preserve"> </w:t>
            </w:r>
            <w:r w:rsidRPr="00904B60">
              <w:rPr>
                <w:rFonts w:ascii="Arial" w:eastAsia="Times New Roman" w:hAnsi="Arial" w:cs="Arial"/>
                <w:sz w:val="18"/>
                <w:szCs w:val="18"/>
                <w:lang w:eastAsia="pl-PL"/>
              </w:rPr>
              <w:t>posługiwania się</w:t>
            </w:r>
            <w:r>
              <w:rPr>
                <w:rFonts w:ascii="Arial" w:eastAsia="Times New Roman" w:hAnsi="Arial" w:cs="Arial"/>
                <w:sz w:val="18"/>
                <w:szCs w:val="18"/>
                <w:lang w:eastAsia="pl-PL"/>
              </w:rPr>
              <w:t xml:space="preserve"> </w:t>
            </w:r>
            <w:r w:rsidRPr="00904B60">
              <w:rPr>
                <w:rFonts w:ascii="Arial" w:eastAsia="Times New Roman" w:hAnsi="Arial" w:cs="Arial"/>
                <w:sz w:val="18"/>
                <w:szCs w:val="18"/>
                <w:lang w:eastAsia="pl-PL"/>
              </w:rPr>
              <w:t>technologiami informacyjno-komunikacyjnymi</w:t>
            </w:r>
            <w:r>
              <w:rPr>
                <w:rFonts w:ascii="Arial" w:eastAsia="Times New Roman" w:hAnsi="Arial" w:cs="Arial"/>
                <w:sz w:val="18"/>
                <w:szCs w:val="18"/>
                <w:lang w:eastAsia="pl-PL"/>
              </w:rPr>
              <w:t xml:space="preserve"> </w:t>
            </w:r>
            <w:r w:rsidRPr="00904B60">
              <w:rPr>
                <w:rFonts w:ascii="Arial" w:eastAsia="Times New Roman" w:hAnsi="Arial" w:cs="Arial"/>
                <w:sz w:val="18"/>
                <w:szCs w:val="18"/>
                <w:lang w:eastAsia="pl-PL"/>
              </w:rPr>
              <w:t>w</w:t>
            </w:r>
            <w:r>
              <w:rPr>
                <w:rFonts w:ascii="Arial" w:eastAsia="Times New Roman" w:hAnsi="Arial" w:cs="Arial"/>
                <w:sz w:val="18"/>
                <w:szCs w:val="18"/>
                <w:lang w:eastAsia="pl-PL"/>
              </w:rPr>
              <w:t> </w:t>
            </w:r>
            <w:r w:rsidRPr="00904B60">
              <w:rPr>
                <w:rFonts w:ascii="Arial" w:eastAsia="Times New Roman" w:hAnsi="Arial" w:cs="Arial"/>
                <w:sz w:val="18"/>
                <w:szCs w:val="18"/>
                <w:lang w:eastAsia="pl-PL"/>
              </w:rPr>
              <w:t>pracy, czasie wolnym, kształceniu i komunikacji.</w:t>
            </w:r>
            <w:r>
              <w:rPr>
                <w:rFonts w:ascii="Arial" w:eastAsia="Times New Roman" w:hAnsi="Arial" w:cs="Arial"/>
                <w:sz w:val="18"/>
                <w:szCs w:val="18"/>
                <w:lang w:eastAsia="pl-PL"/>
              </w:rPr>
              <w:t xml:space="preserve"> </w:t>
            </w:r>
            <w:r>
              <w:t xml:space="preserve"> B</w:t>
            </w:r>
            <w:r w:rsidRPr="00904B60">
              <w:rPr>
                <w:rFonts w:ascii="Arial" w:eastAsia="Times New Roman" w:hAnsi="Arial" w:cs="Arial"/>
                <w:sz w:val="18"/>
                <w:szCs w:val="18"/>
                <w:lang w:eastAsia="pl-PL"/>
              </w:rPr>
              <w:t xml:space="preserve">azują </w:t>
            </w:r>
            <w:r>
              <w:rPr>
                <w:rFonts w:ascii="Arial" w:eastAsia="Times New Roman" w:hAnsi="Arial" w:cs="Arial"/>
                <w:sz w:val="18"/>
                <w:szCs w:val="18"/>
                <w:lang w:eastAsia="pl-PL"/>
              </w:rPr>
              <w:t xml:space="preserve">one </w:t>
            </w:r>
            <w:r w:rsidRPr="00904B60">
              <w:rPr>
                <w:rFonts w:ascii="Arial" w:eastAsia="Times New Roman" w:hAnsi="Arial" w:cs="Arial"/>
                <w:sz w:val="18"/>
                <w:szCs w:val="18"/>
                <w:lang w:eastAsia="pl-PL"/>
              </w:rPr>
              <w:t>na podstawowym technicznym korzystaniu</w:t>
            </w:r>
            <w:r>
              <w:rPr>
                <w:rFonts w:ascii="Arial" w:eastAsia="Times New Roman" w:hAnsi="Arial" w:cs="Arial"/>
                <w:sz w:val="18"/>
                <w:szCs w:val="18"/>
                <w:lang w:eastAsia="pl-PL"/>
              </w:rPr>
              <w:t xml:space="preserve"> </w:t>
            </w:r>
            <w:r w:rsidRPr="00904B60">
              <w:rPr>
                <w:rFonts w:ascii="Arial" w:eastAsia="Times New Roman" w:hAnsi="Arial" w:cs="Arial"/>
                <w:sz w:val="18"/>
                <w:szCs w:val="18"/>
                <w:lang w:eastAsia="pl-PL"/>
              </w:rPr>
              <w:t>z komputera i Internetu</w:t>
            </w:r>
            <w:r>
              <w:rPr>
                <w:rFonts w:ascii="Arial" w:eastAsia="Times New Roman" w:hAnsi="Arial" w:cs="Arial"/>
                <w:sz w:val="18"/>
                <w:szCs w:val="18"/>
                <w:lang w:eastAsia="pl-PL"/>
              </w:rPr>
              <w:t xml:space="preserve"> i są badane </w:t>
            </w:r>
            <w:r>
              <w:rPr>
                <w:rFonts w:ascii="Arial" w:eastAsia="Times New Roman" w:hAnsi="Arial" w:cs="Arial"/>
                <w:sz w:val="18"/>
                <w:szCs w:val="18"/>
                <w:lang w:eastAsia="pl-PL"/>
              </w:rPr>
              <w:lastRenderedPageBreak/>
              <w:t xml:space="preserve">przez umiejętność wykonania </w:t>
            </w:r>
            <w:r>
              <w:t xml:space="preserve"> </w:t>
            </w:r>
            <w:r>
              <w:rPr>
                <w:rFonts w:ascii="Arial" w:eastAsia="Times New Roman" w:hAnsi="Arial" w:cs="Arial"/>
                <w:sz w:val="18"/>
                <w:szCs w:val="18"/>
                <w:lang w:eastAsia="pl-PL"/>
              </w:rPr>
              <w:t xml:space="preserve">sześciu </w:t>
            </w:r>
            <w:r w:rsidRPr="00904B60">
              <w:rPr>
                <w:rFonts w:ascii="Arial" w:eastAsia="Times New Roman" w:hAnsi="Arial" w:cs="Arial"/>
                <w:sz w:val="18"/>
                <w:szCs w:val="18"/>
                <w:lang w:eastAsia="pl-PL"/>
              </w:rPr>
              <w:t>podstawowych</w:t>
            </w:r>
            <w:r>
              <w:rPr>
                <w:rFonts w:ascii="Arial" w:eastAsia="Times New Roman" w:hAnsi="Arial" w:cs="Arial"/>
                <w:sz w:val="18"/>
                <w:szCs w:val="18"/>
                <w:lang w:eastAsia="pl-PL"/>
              </w:rPr>
              <w:t xml:space="preserve"> operacji komputerowych i sześciu</w:t>
            </w:r>
            <w:r w:rsidRPr="00904B60">
              <w:rPr>
                <w:rFonts w:ascii="Arial" w:eastAsia="Times New Roman" w:hAnsi="Arial" w:cs="Arial"/>
                <w:sz w:val="18"/>
                <w:szCs w:val="18"/>
                <w:lang w:eastAsia="pl-PL"/>
              </w:rPr>
              <w:t xml:space="preserve"> </w:t>
            </w:r>
            <w:r>
              <w:rPr>
                <w:rFonts w:ascii="Arial" w:eastAsia="Times New Roman" w:hAnsi="Arial" w:cs="Arial"/>
                <w:sz w:val="18"/>
                <w:szCs w:val="18"/>
                <w:lang w:eastAsia="pl-PL"/>
              </w:rPr>
              <w:t xml:space="preserve">operacji </w:t>
            </w:r>
            <w:r w:rsidRPr="00904B60">
              <w:rPr>
                <w:rFonts w:ascii="Arial" w:eastAsia="Times New Roman" w:hAnsi="Arial" w:cs="Arial"/>
                <w:sz w:val="18"/>
                <w:szCs w:val="18"/>
                <w:lang w:eastAsia="pl-PL"/>
              </w:rPr>
              <w:t>internetowych</w:t>
            </w:r>
            <w:r>
              <w:rPr>
                <w:rFonts w:ascii="Arial" w:eastAsia="Times New Roman" w:hAnsi="Arial" w:cs="Arial"/>
                <w:sz w:val="18"/>
                <w:szCs w:val="18"/>
                <w:lang w:eastAsia="pl-PL"/>
              </w:rPr>
              <w:t>.</w:t>
            </w:r>
          </w:p>
        </w:tc>
      </w:tr>
      <w:tr w:rsidR="00BE0E47" w:rsidRPr="009754D9" w:rsidTr="003E536A">
        <w:trPr>
          <w:cnfStyle w:val="000000100000"/>
          <w:trHeight w:val="585"/>
        </w:trPr>
        <w:tc>
          <w:tcPr>
            <w:cnfStyle w:val="001000000000"/>
            <w:tcW w:w="3030" w:type="dxa"/>
            <w:vAlign w:val="center"/>
            <w:hideMark/>
          </w:tcPr>
          <w:p w:rsidR="00BE0E47" w:rsidRPr="009754D9" w:rsidRDefault="00BE0E47" w:rsidP="00BE0E47">
            <w:pPr>
              <w:jc w:val="left"/>
              <w:rPr>
                <w:rFonts w:ascii="Arial" w:hAnsi="Arial" w:cs="Arial"/>
                <w:sz w:val="18"/>
                <w:szCs w:val="18"/>
              </w:rPr>
            </w:pPr>
            <w:r w:rsidRPr="009754D9">
              <w:rPr>
                <w:rFonts w:ascii="Arial" w:hAnsi="Arial" w:cs="Arial"/>
                <w:sz w:val="18"/>
                <w:szCs w:val="18"/>
              </w:rPr>
              <w:lastRenderedPageBreak/>
              <w:t>Liczba projektów, w których sfinansowano koszty racjonalnych usprawnień dla osób z niepełnosprawnościami</w:t>
            </w:r>
          </w:p>
        </w:tc>
        <w:tc>
          <w:tcPr>
            <w:tcW w:w="1107" w:type="dxa"/>
            <w:vAlign w:val="center"/>
            <w:hideMark/>
          </w:tcPr>
          <w:p w:rsidR="00BE0E47" w:rsidRPr="009754D9" w:rsidRDefault="00BE0E47" w:rsidP="00BE0E47">
            <w:pPr>
              <w:jc w:val="left"/>
              <w:cnfStyle w:val="000000100000"/>
              <w:rPr>
                <w:rFonts w:ascii="Arial" w:hAnsi="Arial" w:cs="Arial"/>
                <w:sz w:val="18"/>
                <w:szCs w:val="18"/>
              </w:rPr>
            </w:pPr>
            <w:r w:rsidRPr="009754D9">
              <w:rPr>
                <w:rFonts w:ascii="Arial" w:hAnsi="Arial" w:cs="Arial"/>
                <w:sz w:val="18"/>
                <w:szCs w:val="18"/>
              </w:rPr>
              <w:t>szt.</w:t>
            </w:r>
          </w:p>
        </w:tc>
        <w:tc>
          <w:tcPr>
            <w:tcW w:w="1197" w:type="dxa"/>
            <w:vAlign w:val="center"/>
          </w:tcPr>
          <w:p w:rsidR="00BE0E47" w:rsidRPr="009754D9" w:rsidRDefault="00BE0E47" w:rsidP="00BE0E47">
            <w:pPr>
              <w:jc w:val="left"/>
              <w:cnfStyle w:val="000000100000"/>
              <w:rPr>
                <w:rFonts w:ascii="Arial" w:eastAsia="Times New Roman" w:hAnsi="Arial" w:cs="Arial"/>
                <w:sz w:val="18"/>
                <w:szCs w:val="18"/>
                <w:lang w:eastAsia="pl-PL"/>
              </w:rPr>
            </w:pPr>
            <w:r w:rsidRPr="009754D9">
              <w:rPr>
                <w:rFonts w:ascii="Arial" w:eastAsia="Times New Roman" w:hAnsi="Arial" w:cs="Arial"/>
                <w:sz w:val="18"/>
                <w:szCs w:val="18"/>
                <w:lang w:eastAsia="pl-PL"/>
              </w:rPr>
              <w:t>produkt</w:t>
            </w:r>
          </w:p>
        </w:tc>
        <w:tc>
          <w:tcPr>
            <w:tcW w:w="1043" w:type="dxa"/>
            <w:vAlign w:val="center"/>
          </w:tcPr>
          <w:p w:rsidR="00BE0E47" w:rsidRPr="009754D9" w:rsidRDefault="00BE0E47" w:rsidP="00BE0E47">
            <w:pPr>
              <w:jc w:val="left"/>
              <w:cnfStyle w:val="000000100000"/>
              <w:rPr>
                <w:rFonts w:ascii="Arial" w:eastAsia="Times New Roman" w:hAnsi="Arial" w:cs="Arial"/>
                <w:sz w:val="18"/>
                <w:szCs w:val="18"/>
                <w:lang w:eastAsia="pl-PL"/>
              </w:rPr>
            </w:pPr>
            <w:r w:rsidRPr="009754D9">
              <w:rPr>
                <w:rFonts w:ascii="Arial" w:eastAsia="Times New Roman" w:hAnsi="Arial" w:cs="Arial"/>
                <w:sz w:val="18"/>
                <w:szCs w:val="18"/>
                <w:lang w:eastAsia="pl-PL"/>
              </w:rPr>
              <w:t>kluczowy - krajowy</w:t>
            </w:r>
          </w:p>
        </w:tc>
        <w:tc>
          <w:tcPr>
            <w:tcW w:w="964" w:type="dxa"/>
            <w:vAlign w:val="center"/>
          </w:tcPr>
          <w:p w:rsidR="00BE0E47" w:rsidRPr="009754D9" w:rsidRDefault="00BE0E47" w:rsidP="00BE0E47">
            <w:pPr>
              <w:jc w:val="left"/>
              <w:cnfStyle w:val="000000100000"/>
              <w:rPr>
                <w:rFonts w:ascii="Arial" w:eastAsia="Times New Roman" w:hAnsi="Arial" w:cs="Arial"/>
                <w:sz w:val="18"/>
                <w:szCs w:val="18"/>
                <w:lang w:eastAsia="pl-PL"/>
              </w:rPr>
            </w:pPr>
            <w:r w:rsidRPr="009754D9">
              <w:rPr>
                <w:rFonts w:ascii="Arial" w:eastAsia="Times New Roman" w:hAnsi="Arial" w:cs="Arial"/>
                <w:sz w:val="18"/>
                <w:szCs w:val="18"/>
                <w:lang w:eastAsia="pl-PL"/>
              </w:rPr>
              <w:t>projekt</w:t>
            </w:r>
          </w:p>
        </w:tc>
        <w:tc>
          <w:tcPr>
            <w:tcW w:w="1287" w:type="dxa"/>
            <w:vAlign w:val="center"/>
          </w:tcPr>
          <w:p w:rsidR="00BE0E47" w:rsidRPr="009754D9" w:rsidRDefault="00BE0E47" w:rsidP="00BE0E47">
            <w:pPr>
              <w:jc w:val="left"/>
              <w:cnfStyle w:val="000000100000"/>
              <w:rPr>
                <w:rFonts w:ascii="Arial" w:eastAsia="Times New Roman" w:hAnsi="Arial" w:cs="Arial"/>
                <w:sz w:val="18"/>
                <w:szCs w:val="18"/>
                <w:lang w:eastAsia="pl-PL"/>
              </w:rPr>
            </w:pPr>
            <w:r w:rsidRPr="009754D9">
              <w:rPr>
                <w:rFonts w:ascii="Arial" w:eastAsia="Times New Roman" w:hAnsi="Arial" w:cs="Arial"/>
                <w:sz w:val="18"/>
                <w:szCs w:val="18"/>
                <w:lang w:eastAsia="pl-PL"/>
              </w:rPr>
              <w:t>informacyjny</w:t>
            </w:r>
          </w:p>
        </w:tc>
        <w:tc>
          <w:tcPr>
            <w:tcW w:w="1261" w:type="dxa"/>
            <w:vAlign w:val="center"/>
          </w:tcPr>
          <w:p w:rsidR="00BE0E47" w:rsidRPr="009754D9" w:rsidRDefault="00BE0E47" w:rsidP="00BE0E47">
            <w:pPr>
              <w:jc w:val="left"/>
              <w:cnfStyle w:val="000000100000"/>
              <w:rPr>
                <w:rFonts w:ascii="Arial" w:eastAsia="Times New Roman" w:hAnsi="Arial" w:cs="Arial"/>
                <w:sz w:val="18"/>
                <w:szCs w:val="18"/>
                <w:lang w:eastAsia="pl-PL"/>
              </w:rPr>
            </w:pPr>
          </w:p>
        </w:tc>
        <w:tc>
          <w:tcPr>
            <w:tcW w:w="4253" w:type="dxa"/>
          </w:tcPr>
          <w:p w:rsidR="00BE0E47" w:rsidRPr="009754D9" w:rsidRDefault="00BE0E47" w:rsidP="00BE0E47">
            <w:pPr>
              <w:jc w:val="left"/>
              <w:cnfStyle w:val="000000100000"/>
              <w:rPr>
                <w:rFonts w:ascii="Arial" w:eastAsia="Times New Roman" w:hAnsi="Arial" w:cs="Arial"/>
                <w:sz w:val="18"/>
                <w:szCs w:val="18"/>
                <w:lang w:eastAsia="pl-PL"/>
              </w:rPr>
            </w:pPr>
            <w:r w:rsidRPr="009432C8">
              <w:rPr>
                <w:rFonts w:ascii="Arial" w:eastAsia="Times New Roman" w:hAnsi="Arial" w:cs="Arial"/>
                <w:sz w:val="18"/>
                <w:szCs w:val="18"/>
                <w:lang w:eastAsia="pl-PL"/>
              </w:rPr>
              <w:t>Liczba projektów, w których sfinansowano koszty racjonalnych usprawnień dla osób z niepełnosprawnościami</w:t>
            </w:r>
            <w:r>
              <w:rPr>
                <w:rFonts w:ascii="Arial" w:eastAsia="Times New Roman" w:hAnsi="Arial" w:cs="Arial"/>
                <w:sz w:val="18"/>
                <w:szCs w:val="18"/>
                <w:lang w:eastAsia="pl-PL"/>
              </w:rPr>
              <w:t>.</w:t>
            </w:r>
          </w:p>
        </w:tc>
      </w:tr>
    </w:tbl>
    <w:p w:rsidR="0034340F" w:rsidRDefault="0034340F" w:rsidP="004A62DA"/>
    <w:p w:rsidR="0034340F" w:rsidRDefault="0034340F" w:rsidP="004A62DA"/>
    <w:p w:rsidR="0034340F" w:rsidRDefault="0034340F" w:rsidP="004A62DA"/>
    <w:p w:rsidR="0034340F" w:rsidRDefault="0034340F" w:rsidP="004A62DA"/>
    <w:p w:rsidR="0034340F" w:rsidRDefault="0034340F" w:rsidP="004A62DA"/>
    <w:p w:rsidR="0034340F" w:rsidRDefault="0034340F" w:rsidP="004A62DA"/>
    <w:p w:rsidR="0034340F" w:rsidRDefault="0034340F" w:rsidP="004A62DA"/>
    <w:p w:rsidR="0034340F" w:rsidRDefault="0034340F" w:rsidP="004A62DA"/>
    <w:p w:rsidR="0034340F" w:rsidRDefault="0034340F" w:rsidP="004A62DA"/>
    <w:p w:rsidR="004A62DA" w:rsidRDefault="004A62DA" w:rsidP="004A62DA">
      <w:r>
        <w:t xml:space="preserve">Zgodnie z Wytycznymi w zakresie monitorowania postępów rzeczowych realizacji programów operacyjnych na lata 2014-2020 Beneficjent ma obowiązek wybrać wszystkie adekwatne do zakresu projektu wskaźniki kluczowe (z listy WLWK). </w:t>
      </w:r>
    </w:p>
    <w:p w:rsidR="004A62DA" w:rsidRDefault="004A62DA" w:rsidP="004A62DA">
      <w:r>
        <w:t>By spełnić wymogi MIR a także zagwarantować sprawną realizację programu, na etapie oceny formalnej (kryteria formalne poprawności) wniosku o dofinansowanie sprawdzane jest c</w:t>
      </w:r>
      <w:r w:rsidRPr="00BE17D7">
        <w:t>zy projekt zakłada wskaźniki adekwatne do zakresu rzeczowego i czy wybrano wszystkie adekwatne wskaźniki (w tym w</w:t>
      </w:r>
      <w:r>
        <w:t>skaźniki z ram wykonania).</w:t>
      </w:r>
    </w:p>
    <w:p w:rsidR="004A62DA" w:rsidRDefault="004A62DA" w:rsidP="004A62DA">
      <w:r>
        <w:t>Ponadto, by zagwarantować sprawne wdrażanie RPO, wobec tych ze wskaźników umieszczonych w SzOOP, które są mierzone również na poziomie programu (w tym wskaźniki RW) dokonywana jest ocena efektywności kosztowej uzyskania jednej jednostki danego wskaźnika na etapie oceny merytorycznej wniosku o dofinansowanie (kryteria trafności merytorycznej – kryteria skuteczności/efektywności). W przypadku podpisania umowy jakiekolwiek zmiany w wartościach docelowych tych wskaźników skutkują ponowną oceną merytoryczną wniosku.</w:t>
      </w:r>
    </w:p>
    <w:p w:rsidR="00543927" w:rsidRDefault="00543927" w:rsidP="004A62DA"/>
    <w:p w:rsidR="00543927" w:rsidRDefault="00543927" w:rsidP="00543927">
      <w:r>
        <w:t>Wybrane z listy umieszczonej w SzOOP wskaźniki produktu i rezultatu bezpośredniego w danym projekcie podlegają monitorowaniu w trakcie postępów realizacji projektu:</w:t>
      </w:r>
    </w:p>
    <w:p w:rsidR="00543927" w:rsidRDefault="00543927" w:rsidP="00543927">
      <w:r>
        <w:t>- wskaźniki produktu – wykazywane są we wniosku o płatność za okres, w którym osiągnięto daną wartość wskaźnika, przy czym osiągnięte wartości powinny zostać wykazane najpóźniej we wniosku o płatność końcową,</w:t>
      </w:r>
    </w:p>
    <w:p w:rsidR="00543927" w:rsidRDefault="00543927" w:rsidP="00543927">
      <w:r>
        <w:lastRenderedPageBreak/>
        <w:t>- wskaźniki rezultatu bezpośredniego – wykazywane są co do zasady w okresie 12 miesięcy od zakończenia okresu realizacji projektu określonego w umowie/decyzji o dofinansowaniu projektu lub, o ile wynika to ze specyfiki projektu, od uruchomienia przedsięwzięcia, bądź też w okresie trwałości projektu, na zasadach określonych przez IZ - w przypadku wskaźników, których termin realizacji został wydłużony na wniosek beneficjenta i za zgodą IZ, przy czym osiągnięte wartości wykazywane są w korekcie do wniosku o płatność końcową.</w:t>
      </w:r>
    </w:p>
    <w:p w:rsidR="00543927" w:rsidRDefault="00543927" w:rsidP="00543927"/>
    <w:p w:rsidR="00543927" w:rsidRDefault="00543927" w:rsidP="00543927">
      <w:r>
        <w:t>Oprócz wskaźników o charakterze rozliczeniowym (produkt i rezultat bezpośredni znajdujący się w SzOOP) Beneficjent ma również obowiązek monitorować w ramach projektów wskaźniki o charakterze informacyjnym, z osiągnięcia których nie jest rozliczany.</w:t>
      </w:r>
    </w:p>
    <w:p w:rsidR="004A62DA" w:rsidRDefault="004A62DA" w:rsidP="004A62DA">
      <w:pPr>
        <w:rPr>
          <w:rFonts w:ascii="Arial" w:hAnsi="Arial" w:cs="Arial"/>
          <w:b/>
        </w:rPr>
      </w:pPr>
    </w:p>
    <w:p w:rsidR="009754D9" w:rsidRDefault="009754D9" w:rsidP="004A62DA">
      <w:pPr>
        <w:rPr>
          <w:rFonts w:ascii="Arial" w:hAnsi="Arial" w:cs="Arial"/>
          <w:b/>
        </w:rPr>
      </w:pPr>
    </w:p>
    <w:p w:rsidR="0034340F" w:rsidRDefault="0034340F" w:rsidP="004A62DA">
      <w:pPr>
        <w:rPr>
          <w:rFonts w:ascii="Arial" w:hAnsi="Arial" w:cs="Arial"/>
          <w:b/>
        </w:rPr>
      </w:pPr>
    </w:p>
    <w:p w:rsidR="009754D9" w:rsidRPr="0034340F" w:rsidRDefault="009754D9" w:rsidP="0034340F">
      <w:pPr>
        <w:rPr>
          <w:rFonts w:ascii="Arial" w:hAnsi="Arial" w:cs="Arial"/>
          <w:b/>
          <w:i/>
        </w:rPr>
      </w:pPr>
    </w:p>
    <w:sectPr w:rsidR="009754D9" w:rsidRPr="0034340F" w:rsidSect="0034340F">
      <w:headerReference w:type="even" r:id="rId8"/>
      <w:headerReference w:type="default" r:id="rId9"/>
      <w:footerReference w:type="even" r:id="rId10"/>
      <w:footerReference w:type="default" r:id="rId11"/>
      <w:headerReference w:type="first" r:id="rId12"/>
      <w:footerReference w:type="first" r:id="rId13"/>
      <w:pgSz w:w="16838" w:h="11906" w:orient="landscape"/>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36F8" w:rsidRDefault="00DF36F8" w:rsidP="004A62DA">
      <w:pPr>
        <w:spacing w:line="240" w:lineRule="auto"/>
      </w:pPr>
      <w:r>
        <w:separator/>
      </w:r>
    </w:p>
  </w:endnote>
  <w:endnote w:type="continuationSeparator" w:id="0">
    <w:p w:rsidR="00DF36F8" w:rsidRDefault="00DF36F8" w:rsidP="004A62D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MyriadPro-Regular">
    <w:panose1 w:val="00000000000000000000"/>
    <w:charset w:val="EE"/>
    <w:family w:val="swiss"/>
    <w:notTrueType/>
    <w:pitch w:val="default"/>
    <w:sig w:usb0="00000005" w:usb1="00000000" w:usb2="00000000" w:usb3="00000000" w:csb0="0000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266A" w:rsidRDefault="00D3266A">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266A" w:rsidRDefault="00D3266A">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266A" w:rsidRDefault="00D3266A">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36F8" w:rsidRDefault="00DF36F8" w:rsidP="004A62DA">
      <w:pPr>
        <w:spacing w:line="240" w:lineRule="auto"/>
      </w:pPr>
      <w:r>
        <w:separator/>
      </w:r>
    </w:p>
  </w:footnote>
  <w:footnote w:type="continuationSeparator" w:id="0">
    <w:p w:rsidR="00DF36F8" w:rsidRDefault="00DF36F8" w:rsidP="004A62D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266A" w:rsidRDefault="00D3266A">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266A" w:rsidRDefault="00D3266A" w:rsidP="00D3266A">
    <w:pPr>
      <w:pStyle w:val="Nagwek"/>
      <w:jc w:val="right"/>
      <w:rPr>
        <w:i/>
        <w:sz w:val="16"/>
        <w:szCs w:val="16"/>
      </w:rPr>
    </w:pPr>
    <w:r w:rsidRPr="007A77A5">
      <w:rPr>
        <w:i/>
        <w:sz w:val="16"/>
        <w:szCs w:val="16"/>
      </w:rPr>
      <w:t xml:space="preserve">Załącznik nr 5 </w:t>
    </w:r>
  </w:p>
  <w:p w:rsidR="00D3266A" w:rsidRPr="007A77A5" w:rsidRDefault="00D3266A" w:rsidP="00D3266A">
    <w:pPr>
      <w:pStyle w:val="Nagwek"/>
      <w:jc w:val="right"/>
      <w:rPr>
        <w:i/>
        <w:sz w:val="16"/>
        <w:szCs w:val="16"/>
      </w:rPr>
    </w:pPr>
    <w:r w:rsidRPr="007A77A5">
      <w:rPr>
        <w:i/>
        <w:sz w:val="16"/>
        <w:szCs w:val="16"/>
      </w:rPr>
      <w:t xml:space="preserve">do Regulaminu konkursu </w:t>
    </w:r>
  </w:p>
  <w:p w:rsidR="00D3266A" w:rsidRPr="00D3266A" w:rsidRDefault="00D3266A" w:rsidP="00D3266A">
    <w:pPr>
      <w:pStyle w:val="Nagwek"/>
      <w:jc w:val="right"/>
      <w:rPr>
        <w:i/>
        <w:sz w:val="16"/>
        <w:szCs w:val="16"/>
      </w:rPr>
    </w:pPr>
    <w:r w:rsidRPr="007A77A5">
      <w:rPr>
        <w:i/>
        <w:sz w:val="16"/>
        <w:szCs w:val="16"/>
      </w:rPr>
      <w:t>- opis w</w:t>
    </w:r>
    <w:r>
      <w:rPr>
        <w:i/>
        <w:sz w:val="16"/>
        <w:szCs w:val="16"/>
      </w:rPr>
      <w:t xml:space="preserve">skaźników w ramach Działania </w:t>
    </w:r>
    <w:r>
      <w:rPr>
        <w:i/>
        <w:sz w:val="16"/>
        <w:szCs w:val="16"/>
      </w:rPr>
      <w:t>7.1</w:t>
    </w:r>
  </w:p>
  <w:p w:rsidR="00D3266A" w:rsidRDefault="00D3266A" w:rsidP="009754D9">
    <w:pPr>
      <w:pStyle w:val="Nagwek"/>
      <w:jc w:val="center"/>
      <w:rPr>
        <w:b/>
      </w:rPr>
    </w:pPr>
  </w:p>
  <w:p w:rsidR="00B51B4D" w:rsidRPr="009754D9" w:rsidRDefault="00B51B4D" w:rsidP="009754D9">
    <w:pPr>
      <w:pStyle w:val="Nagwek"/>
      <w:jc w:val="center"/>
      <w:rPr>
        <w:b/>
      </w:rPr>
    </w:pPr>
    <w:r w:rsidRPr="009754D9">
      <w:rPr>
        <w:b/>
      </w:rPr>
      <w:t xml:space="preserve">Lista wskaźników do konkursu na Działanie </w:t>
    </w:r>
    <w:r w:rsidR="001C2E01">
      <w:rPr>
        <w:b/>
      </w:rPr>
      <w:t>7.1</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266A" w:rsidRDefault="00D3266A">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8F64DD"/>
    <w:multiLevelType w:val="hybridMultilevel"/>
    <w:tmpl w:val="9930422A"/>
    <w:lvl w:ilvl="0" w:tplc="B8C4AD5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8194"/>
  </w:hdrShapeDefaults>
  <w:footnotePr>
    <w:footnote w:id="-1"/>
    <w:footnote w:id="0"/>
  </w:footnotePr>
  <w:endnotePr>
    <w:endnote w:id="-1"/>
    <w:endnote w:id="0"/>
  </w:endnotePr>
  <w:compat/>
  <w:rsids>
    <w:rsidRoot w:val="003611D0"/>
    <w:rsid w:val="000A2DB3"/>
    <w:rsid w:val="000A2FCA"/>
    <w:rsid w:val="000D5F6A"/>
    <w:rsid w:val="000D7A64"/>
    <w:rsid w:val="00121F95"/>
    <w:rsid w:val="00163A6F"/>
    <w:rsid w:val="00187654"/>
    <w:rsid w:val="00196373"/>
    <w:rsid w:val="001A72AF"/>
    <w:rsid w:val="001C2E01"/>
    <w:rsid w:val="001D3442"/>
    <w:rsid w:val="001E4B7C"/>
    <w:rsid w:val="00224E1F"/>
    <w:rsid w:val="0027332F"/>
    <w:rsid w:val="002E0EE9"/>
    <w:rsid w:val="003005FE"/>
    <w:rsid w:val="0034340F"/>
    <w:rsid w:val="00356BE1"/>
    <w:rsid w:val="003611D0"/>
    <w:rsid w:val="003B7142"/>
    <w:rsid w:val="003E536A"/>
    <w:rsid w:val="00400464"/>
    <w:rsid w:val="00427D47"/>
    <w:rsid w:val="004A62DA"/>
    <w:rsid w:val="004A6EBF"/>
    <w:rsid w:val="004A7C38"/>
    <w:rsid w:val="005074E2"/>
    <w:rsid w:val="00515883"/>
    <w:rsid w:val="00516768"/>
    <w:rsid w:val="00517240"/>
    <w:rsid w:val="00543927"/>
    <w:rsid w:val="00651C38"/>
    <w:rsid w:val="00660316"/>
    <w:rsid w:val="006776B9"/>
    <w:rsid w:val="00693752"/>
    <w:rsid w:val="006D172A"/>
    <w:rsid w:val="00721592"/>
    <w:rsid w:val="00722FED"/>
    <w:rsid w:val="007878F4"/>
    <w:rsid w:val="00791C28"/>
    <w:rsid w:val="0079208A"/>
    <w:rsid w:val="00793145"/>
    <w:rsid w:val="007B25DC"/>
    <w:rsid w:val="007D1749"/>
    <w:rsid w:val="007E7E2D"/>
    <w:rsid w:val="007F2F4D"/>
    <w:rsid w:val="00825955"/>
    <w:rsid w:val="0084637F"/>
    <w:rsid w:val="00893555"/>
    <w:rsid w:val="008B34F7"/>
    <w:rsid w:val="008C2C41"/>
    <w:rsid w:val="008C3AD3"/>
    <w:rsid w:val="008C778E"/>
    <w:rsid w:val="008F42ED"/>
    <w:rsid w:val="00900B38"/>
    <w:rsid w:val="00902DBF"/>
    <w:rsid w:val="0090462E"/>
    <w:rsid w:val="00904B60"/>
    <w:rsid w:val="009204E8"/>
    <w:rsid w:val="0092432A"/>
    <w:rsid w:val="009432C8"/>
    <w:rsid w:val="0096278F"/>
    <w:rsid w:val="009754D9"/>
    <w:rsid w:val="009A42C8"/>
    <w:rsid w:val="00A33AE8"/>
    <w:rsid w:val="00A41D27"/>
    <w:rsid w:val="00A47154"/>
    <w:rsid w:val="00A50357"/>
    <w:rsid w:val="00AA0BC9"/>
    <w:rsid w:val="00B20D76"/>
    <w:rsid w:val="00B36EB9"/>
    <w:rsid w:val="00B51B4D"/>
    <w:rsid w:val="00B776B0"/>
    <w:rsid w:val="00BB31A1"/>
    <w:rsid w:val="00BB4282"/>
    <w:rsid w:val="00BE0E47"/>
    <w:rsid w:val="00C01795"/>
    <w:rsid w:val="00C022BB"/>
    <w:rsid w:val="00C202A1"/>
    <w:rsid w:val="00C23784"/>
    <w:rsid w:val="00C254C8"/>
    <w:rsid w:val="00C4346D"/>
    <w:rsid w:val="00D3266A"/>
    <w:rsid w:val="00D74596"/>
    <w:rsid w:val="00DB1AA6"/>
    <w:rsid w:val="00DE7A1B"/>
    <w:rsid w:val="00DF36F8"/>
    <w:rsid w:val="00DF4ACD"/>
    <w:rsid w:val="00E00A6F"/>
    <w:rsid w:val="00E13C9A"/>
    <w:rsid w:val="00E51567"/>
    <w:rsid w:val="00E91BD0"/>
    <w:rsid w:val="00EA4186"/>
    <w:rsid w:val="00EC71C2"/>
    <w:rsid w:val="00EE7540"/>
    <w:rsid w:val="00F01164"/>
    <w:rsid w:val="00F27FCA"/>
    <w:rsid w:val="00F84D7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4346D"/>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Jasnasiatkaakcent4">
    <w:name w:val="Light Grid Accent 4"/>
    <w:basedOn w:val="Standardowy"/>
    <w:uiPriority w:val="62"/>
    <w:rsid w:val="004A62DA"/>
    <w:pPr>
      <w:spacing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paragraph" w:styleId="Nagwek">
    <w:name w:val="header"/>
    <w:basedOn w:val="Normalny"/>
    <w:link w:val="NagwekZnak"/>
    <w:uiPriority w:val="99"/>
    <w:unhideWhenUsed/>
    <w:rsid w:val="004A62DA"/>
    <w:pPr>
      <w:tabs>
        <w:tab w:val="center" w:pos="4536"/>
        <w:tab w:val="right" w:pos="9072"/>
      </w:tabs>
      <w:spacing w:line="240" w:lineRule="auto"/>
    </w:pPr>
  </w:style>
  <w:style w:type="character" w:customStyle="1" w:styleId="NagwekZnak">
    <w:name w:val="Nagłówek Znak"/>
    <w:basedOn w:val="Domylnaczcionkaakapitu"/>
    <w:link w:val="Nagwek"/>
    <w:uiPriority w:val="99"/>
    <w:rsid w:val="004A62DA"/>
  </w:style>
  <w:style w:type="paragraph" w:styleId="Stopka">
    <w:name w:val="footer"/>
    <w:basedOn w:val="Normalny"/>
    <w:link w:val="StopkaZnak"/>
    <w:uiPriority w:val="99"/>
    <w:unhideWhenUsed/>
    <w:rsid w:val="004A62DA"/>
    <w:pPr>
      <w:tabs>
        <w:tab w:val="center" w:pos="4536"/>
        <w:tab w:val="right" w:pos="9072"/>
      </w:tabs>
      <w:spacing w:line="240" w:lineRule="auto"/>
    </w:pPr>
  </w:style>
  <w:style w:type="character" w:customStyle="1" w:styleId="StopkaZnak">
    <w:name w:val="Stopka Znak"/>
    <w:basedOn w:val="Domylnaczcionkaakapitu"/>
    <w:link w:val="Stopka"/>
    <w:uiPriority w:val="99"/>
    <w:rsid w:val="004A62DA"/>
  </w:style>
  <w:style w:type="character" w:styleId="Odwoaniedokomentarza">
    <w:name w:val="annotation reference"/>
    <w:basedOn w:val="Domylnaczcionkaakapitu"/>
    <w:uiPriority w:val="99"/>
    <w:semiHidden/>
    <w:unhideWhenUsed/>
    <w:rsid w:val="006776B9"/>
    <w:rPr>
      <w:sz w:val="16"/>
      <w:szCs w:val="16"/>
    </w:rPr>
  </w:style>
  <w:style w:type="paragraph" w:styleId="Tekstkomentarza">
    <w:name w:val="annotation text"/>
    <w:basedOn w:val="Normalny"/>
    <w:link w:val="TekstkomentarzaZnak"/>
    <w:uiPriority w:val="99"/>
    <w:semiHidden/>
    <w:unhideWhenUsed/>
    <w:rsid w:val="006776B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776B9"/>
    <w:rPr>
      <w:sz w:val="20"/>
      <w:szCs w:val="20"/>
    </w:rPr>
  </w:style>
  <w:style w:type="paragraph" w:styleId="Tematkomentarza">
    <w:name w:val="annotation subject"/>
    <w:basedOn w:val="Tekstkomentarza"/>
    <w:next w:val="Tekstkomentarza"/>
    <w:link w:val="TematkomentarzaZnak"/>
    <w:uiPriority w:val="99"/>
    <w:semiHidden/>
    <w:unhideWhenUsed/>
    <w:rsid w:val="006776B9"/>
    <w:rPr>
      <w:b/>
      <w:bCs/>
    </w:rPr>
  </w:style>
  <w:style w:type="character" w:customStyle="1" w:styleId="TematkomentarzaZnak">
    <w:name w:val="Temat komentarza Znak"/>
    <w:basedOn w:val="TekstkomentarzaZnak"/>
    <w:link w:val="Tematkomentarza"/>
    <w:uiPriority w:val="99"/>
    <w:semiHidden/>
    <w:rsid w:val="006776B9"/>
    <w:rPr>
      <w:b/>
      <w:bCs/>
      <w:sz w:val="20"/>
      <w:szCs w:val="20"/>
    </w:rPr>
  </w:style>
  <w:style w:type="paragraph" w:styleId="Tekstdymka">
    <w:name w:val="Balloon Text"/>
    <w:basedOn w:val="Normalny"/>
    <w:link w:val="TekstdymkaZnak"/>
    <w:uiPriority w:val="99"/>
    <w:semiHidden/>
    <w:unhideWhenUsed/>
    <w:rsid w:val="006776B9"/>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776B9"/>
    <w:rPr>
      <w:rFonts w:ascii="Tahoma" w:hAnsi="Tahoma" w:cs="Tahoma"/>
      <w:sz w:val="16"/>
      <w:szCs w:val="16"/>
    </w:rPr>
  </w:style>
  <w:style w:type="paragraph" w:customStyle="1" w:styleId="Tabelatekst">
    <w:name w:val="Tabela_tekst"/>
    <w:basedOn w:val="Normalny"/>
    <w:qFormat/>
    <w:rsid w:val="00427D47"/>
    <w:pPr>
      <w:spacing w:before="40" w:after="40" w:line="240" w:lineRule="auto"/>
      <w:jc w:val="left"/>
    </w:pPr>
    <w:rPr>
      <w:rFonts w:ascii="Arial" w:hAnsi="Arial" w:cs="Times New Roman"/>
      <w:color w:val="595959" w:themeColor="text1" w:themeTint="A6"/>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4346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Jasnasiatkaakcent4">
    <w:name w:val="Light Grid Accent 4"/>
    <w:basedOn w:val="Standardowy"/>
    <w:uiPriority w:val="62"/>
    <w:rsid w:val="004A62DA"/>
    <w:pPr>
      <w:spacing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paragraph" w:styleId="Nagwek">
    <w:name w:val="header"/>
    <w:basedOn w:val="Normalny"/>
    <w:link w:val="NagwekZnak"/>
    <w:uiPriority w:val="99"/>
    <w:unhideWhenUsed/>
    <w:rsid w:val="004A62DA"/>
    <w:pPr>
      <w:tabs>
        <w:tab w:val="center" w:pos="4536"/>
        <w:tab w:val="right" w:pos="9072"/>
      </w:tabs>
      <w:spacing w:line="240" w:lineRule="auto"/>
    </w:pPr>
  </w:style>
  <w:style w:type="character" w:customStyle="1" w:styleId="NagwekZnak">
    <w:name w:val="Nagłówek Znak"/>
    <w:basedOn w:val="Domylnaczcionkaakapitu"/>
    <w:link w:val="Nagwek"/>
    <w:uiPriority w:val="99"/>
    <w:rsid w:val="004A62DA"/>
  </w:style>
  <w:style w:type="paragraph" w:styleId="Stopka">
    <w:name w:val="footer"/>
    <w:basedOn w:val="Normalny"/>
    <w:link w:val="StopkaZnak"/>
    <w:uiPriority w:val="99"/>
    <w:unhideWhenUsed/>
    <w:rsid w:val="004A62DA"/>
    <w:pPr>
      <w:tabs>
        <w:tab w:val="center" w:pos="4536"/>
        <w:tab w:val="right" w:pos="9072"/>
      </w:tabs>
      <w:spacing w:line="240" w:lineRule="auto"/>
    </w:pPr>
  </w:style>
  <w:style w:type="character" w:customStyle="1" w:styleId="StopkaZnak">
    <w:name w:val="Stopka Znak"/>
    <w:basedOn w:val="Domylnaczcionkaakapitu"/>
    <w:link w:val="Stopka"/>
    <w:uiPriority w:val="99"/>
    <w:rsid w:val="004A62DA"/>
  </w:style>
  <w:style w:type="character" w:styleId="Odwoaniedokomentarza">
    <w:name w:val="annotation reference"/>
    <w:basedOn w:val="Domylnaczcionkaakapitu"/>
    <w:uiPriority w:val="99"/>
    <w:semiHidden/>
    <w:unhideWhenUsed/>
    <w:rsid w:val="006776B9"/>
    <w:rPr>
      <w:sz w:val="16"/>
      <w:szCs w:val="16"/>
    </w:rPr>
  </w:style>
  <w:style w:type="paragraph" w:styleId="Tekstkomentarza">
    <w:name w:val="annotation text"/>
    <w:basedOn w:val="Normalny"/>
    <w:link w:val="TekstkomentarzaZnak"/>
    <w:uiPriority w:val="99"/>
    <w:semiHidden/>
    <w:unhideWhenUsed/>
    <w:rsid w:val="006776B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776B9"/>
    <w:rPr>
      <w:sz w:val="20"/>
      <w:szCs w:val="20"/>
    </w:rPr>
  </w:style>
  <w:style w:type="paragraph" w:styleId="Tematkomentarza">
    <w:name w:val="annotation subject"/>
    <w:basedOn w:val="Tekstkomentarza"/>
    <w:next w:val="Tekstkomentarza"/>
    <w:link w:val="TematkomentarzaZnak"/>
    <w:uiPriority w:val="99"/>
    <w:semiHidden/>
    <w:unhideWhenUsed/>
    <w:rsid w:val="006776B9"/>
    <w:rPr>
      <w:b/>
      <w:bCs/>
    </w:rPr>
  </w:style>
  <w:style w:type="character" w:customStyle="1" w:styleId="TematkomentarzaZnak">
    <w:name w:val="Temat komentarza Znak"/>
    <w:basedOn w:val="TekstkomentarzaZnak"/>
    <w:link w:val="Tematkomentarza"/>
    <w:uiPriority w:val="99"/>
    <w:semiHidden/>
    <w:rsid w:val="006776B9"/>
    <w:rPr>
      <w:b/>
      <w:bCs/>
      <w:sz w:val="20"/>
      <w:szCs w:val="20"/>
    </w:rPr>
  </w:style>
  <w:style w:type="paragraph" w:styleId="Tekstdymka">
    <w:name w:val="Balloon Text"/>
    <w:basedOn w:val="Normalny"/>
    <w:link w:val="TekstdymkaZnak"/>
    <w:uiPriority w:val="99"/>
    <w:semiHidden/>
    <w:unhideWhenUsed/>
    <w:rsid w:val="006776B9"/>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776B9"/>
    <w:rPr>
      <w:rFonts w:ascii="Tahoma" w:hAnsi="Tahoma" w:cs="Tahoma"/>
      <w:sz w:val="16"/>
      <w:szCs w:val="16"/>
    </w:rPr>
  </w:style>
  <w:style w:type="paragraph" w:customStyle="1" w:styleId="Tabelatekst">
    <w:name w:val="Tabela_tekst"/>
    <w:basedOn w:val="Normalny"/>
    <w:qFormat/>
    <w:rsid w:val="00427D47"/>
    <w:pPr>
      <w:spacing w:before="40" w:after="40" w:line="240" w:lineRule="auto"/>
      <w:jc w:val="left"/>
    </w:pPr>
    <w:rPr>
      <w:rFonts w:ascii="Arial" w:hAnsi="Arial" w:cs="Times New Roman"/>
      <w:color w:val="595959" w:themeColor="text1" w:themeTint="A6"/>
      <w:sz w:val="16"/>
      <w:szCs w:val="16"/>
    </w:rPr>
  </w:style>
</w:styles>
</file>

<file path=word/webSettings.xml><?xml version="1.0" encoding="utf-8"?>
<w:webSettings xmlns:r="http://schemas.openxmlformats.org/officeDocument/2006/relationships" xmlns:w="http://schemas.openxmlformats.org/wordprocessingml/2006/main">
  <w:divs>
    <w:div w:id="432938814">
      <w:bodyDiv w:val="1"/>
      <w:marLeft w:val="0"/>
      <w:marRight w:val="0"/>
      <w:marTop w:val="0"/>
      <w:marBottom w:val="0"/>
      <w:divBdr>
        <w:top w:val="none" w:sz="0" w:space="0" w:color="auto"/>
        <w:left w:val="none" w:sz="0" w:space="0" w:color="auto"/>
        <w:bottom w:val="none" w:sz="0" w:space="0" w:color="auto"/>
        <w:right w:val="none" w:sz="0" w:space="0" w:color="auto"/>
      </w:divBdr>
    </w:div>
    <w:div w:id="1042556330">
      <w:bodyDiv w:val="1"/>
      <w:marLeft w:val="0"/>
      <w:marRight w:val="0"/>
      <w:marTop w:val="0"/>
      <w:marBottom w:val="0"/>
      <w:divBdr>
        <w:top w:val="none" w:sz="0" w:space="0" w:color="auto"/>
        <w:left w:val="none" w:sz="0" w:space="0" w:color="auto"/>
        <w:bottom w:val="none" w:sz="0" w:space="0" w:color="auto"/>
        <w:right w:val="none" w:sz="0" w:space="0" w:color="auto"/>
      </w:divBdr>
    </w:div>
    <w:div w:id="1168516746">
      <w:bodyDiv w:val="1"/>
      <w:marLeft w:val="0"/>
      <w:marRight w:val="0"/>
      <w:marTop w:val="0"/>
      <w:marBottom w:val="0"/>
      <w:divBdr>
        <w:top w:val="none" w:sz="0" w:space="0" w:color="auto"/>
        <w:left w:val="none" w:sz="0" w:space="0" w:color="auto"/>
        <w:bottom w:val="none" w:sz="0" w:space="0" w:color="auto"/>
        <w:right w:val="none" w:sz="0" w:space="0" w:color="auto"/>
      </w:divBdr>
    </w:div>
    <w:div w:id="1583416435">
      <w:bodyDiv w:val="1"/>
      <w:marLeft w:val="0"/>
      <w:marRight w:val="0"/>
      <w:marTop w:val="0"/>
      <w:marBottom w:val="0"/>
      <w:divBdr>
        <w:top w:val="none" w:sz="0" w:space="0" w:color="auto"/>
        <w:left w:val="none" w:sz="0" w:space="0" w:color="auto"/>
        <w:bottom w:val="none" w:sz="0" w:space="0" w:color="auto"/>
        <w:right w:val="none" w:sz="0" w:space="0" w:color="auto"/>
      </w:divBdr>
    </w:div>
    <w:div w:id="1997295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F88313-8641-41E0-920E-34D7F4CFE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2992</Words>
  <Characters>17955</Characters>
  <Application>Microsoft Office Word</Application>
  <DocSecurity>0</DocSecurity>
  <Lines>149</Lines>
  <Paragraphs>41</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20906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OEM</dc:creator>
  <cp:lastModifiedBy>rudzkim</cp:lastModifiedBy>
  <cp:revision>4</cp:revision>
  <dcterms:created xsi:type="dcterms:W3CDTF">2015-10-16T06:11:00Z</dcterms:created>
  <dcterms:modified xsi:type="dcterms:W3CDTF">2015-10-16T06:14:00Z</dcterms:modified>
</cp:coreProperties>
</file>