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B0C" w:rsidRDefault="00551B0C" w:rsidP="008D0893">
      <w:pPr>
        <w:spacing w:line="276" w:lineRule="auto"/>
        <w:ind w:left="0" w:firstLine="0"/>
        <w:jc w:val="both"/>
      </w:pPr>
    </w:p>
    <w:p w:rsidR="00EC3CD9" w:rsidRDefault="00EC3CD9" w:rsidP="008D0893">
      <w:pPr>
        <w:spacing w:line="276" w:lineRule="auto"/>
        <w:ind w:left="0" w:firstLine="0"/>
        <w:jc w:val="both"/>
        <w:rPr>
          <w:b/>
          <w:bCs/>
        </w:rPr>
      </w:pPr>
    </w:p>
    <w:p w:rsidR="00DF240E" w:rsidRDefault="00551B0C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  <w:r w:rsidRPr="00551B0C">
        <w:rPr>
          <w:b/>
          <w:bCs/>
        </w:rPr>
        <w:t>FAQ</w:t>
      </w:r>
      <w:r>
        <w:rPr>
          <w:b/>
          <w:bCs/>
        </w:rPr>
        <w:t xml:space="preserve"> </w:t>
      </w:r>
      <w:r w:rsidR="00DF240E">
        <w:rPr>
          <w:rFonts w:ascii="Book Antiqua" w:eastAsia="Calibri" w:hAnsi="Book Antiqua"/>
          <w:b/>
          <w:bCs/>
          <w:sz w:val="22"/>
          <w:szCs w:val="22"/>
        </w:rPr>
        <w:t>–</w:t>
      </w:r>
      <w:r w:rsidRPr="00551B0C">
        <w:rPr>
          <w:rFonts w:ascii="Book Antiqua" w:eastAsia="Calibri" w:hAnsi="Book Antiqua"/>
          <w:b/>
          <w:bCs/>
          <w:sz w:val="22"/>
          <w:szCs w:val="22"/>
        </w:rPr>
        <w:t> </w:t>
      </w:r>
      <w:r w:rsidR="00DF240E" w:rsidRPr="00DF240E">
        <w:rPr>
          <w:rFonts w:ascii="Book Antiqua" w:eastAsia="Calibri" w:hAnsi="Book Antiqua"/>
          <w:b/>
          <w:bCs/>
          <w:sz w:val="22"/>
          <w:szCs w:val="22"/>
        </w:rPr>
        <w:t>Działani</w:t>
      </w:r>
      <w:r w:rsidR="00DF240E">
        <w:rPr>
          <w:rFonts w:ascii="Book Antiqua" w:eastAsia="Calibri" w:hAnsi="Book Antiqua"/>
          <w:b/>
          <w:bCs/>
          <w:sz w:val="22"/>
          <w:szCs w:val="22"/>
        </w:rPr>
        <w:t>e</w:t>
      </w:r>
      <w:r w:rsidR="00DF240E" w:rsidRPr="00DF240E">
        <w:rPr>
          <w:rFonts w:ascii="Book Antiqua" w:eastAsia="Calibri" w:hAnsi="Book Antiqua"/>
          <w:b/>
          <w:bCs/>
          <w:sz w:val="22"/>
          <w:szCs w:val="22"/>
        </w:rPr>
        <w:t xml:space="preserve"> </w:t>
      </w:r>
      <w:r w:rsidR="00C905B6">
        <w:rPr>
          <w:rFonts w:ascii="Book Antiqua" w:eastAsia="Calibri" w:hAnsi="Book Antiqua"/>
          <w:b/>
          <w:bCs/>
          <w:sz w:val="22"/>
          <w:szCs w:val="22"/>
        </w:rPr>
        <w:t>5.1</w:t>
      </w:r>
      <w:r w:rsidR="00DF240E" w:rsidRPr="00DF240E">
        <w:rPr>
          <w:rFonts w:ascii="Book Antiqua" w:eastAsia="Calibri" w:hAnsi="Book Antiqua"/>
          <w:b/>
          <w:bCs/>
          <w:sz w:val="22"/>
          <w:szCs w:val="22"/>
        </w:rPr>
        <w:t xml:space="preserve"> </w:t>
      </w:r>
      <w:r w:rsidR="00C905B6">
        <w:rPr>
          <w:rFonts w:ascii="Book Antiqua" w:eastAsia="Calibri" w:hAnsi="Book Antiqua"/>
          <w:b/>
          <w:bCs/>
          <w:sz w:val="22"/>
          <w:szCs w:val="22"/>
        </w:rPr>
        <w:t>Poprawa Efektywności Energetycznej Przedsiębiorstw</w:t>
      </w:r>
      <w:r w:rsidR="00DF240E">
        <w:rPr>
          <w:rFonts w:ascii="Book Antiqua" w:eastAsia="Calibri" w:hAnsi="Book Antiqua"/>
          <w:b/>
          <w:bCs/>
          <w:sz w:val="22"/>
          <w:szCs w:val="22"/>
        </w:rPr>
        <w:t xml:space="preserve"> </w:t>
      </w:r>
      <w:r w:rsidR="00DF240E" w:rsidRPr="00DF240E">
        <w:rPr>
          <w:rFonts w:ascii="Book Antiqua" w:eastAsia="Calibri" w:hAnsi="Book Antiqua"/>
          <w:b/>
          <w:bCs/>
          <w:sz w:val="22"/>
          <w:szCs w:val="22"/>
        </w:rPr>
        <w:t>Regionalnego Programu Operacyjnego Województwa Lubelskiego na lata 2014-2020</w:t>
      </w: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9320D8" w:rsidRDefault="009320D8" w:rsidP="008D0893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Book Antiqua" w:eastAsia="Calibri" w:hAnsi="Book Antiqua"/>
          <w:b/>
          <w:bCs/>
          <w:sz w:val="22"/>
          <w:szCs w:val="22"/>
        </w:rPr>
      </w:pPr>
      <w:r>
        <w:rPr>
          <w:rFonts w:ascii="Book Antiqua" w:eastAsia="Calibri" w:hAnsi="Book Antiqua"/>
          <w:b/>
          <w:bCs/>
          <w:sz w:val="22"/>
          <w:szCs w:val="22"/>
        </w:rPr>
        <w:t xml:space="preserve">Zapisy Kryteriów </w:t>
      </w:r>
      <w:r w:rsidRPr="009320D8">
        <w:rPr>
          <w:rFonts w:ascii="Book Antiqua" w:eastAsia="Calibri" w:hAnsi="Book Antiqua"/>
          <w:b/>
          <w:bCs/>
          <w:sz w:val="22"/>
          <w:szCs w:val="22"/>
        </w:rPr>
        <w:t>wyboru projektów w ramach Działania 5.1 Poprawa efektywności energetycznej przedsiębiorstw</w:t>
      </w:r>
      <w:r>
        <w:rPr>
          <w:rFonts w:ascii="Book Antiqua" w:eastAsia="Calibri" w:hAnsi="Book Antiqua"/>
          <w:b/>
          <w:bCs/>
          <w:sz w:val="22"/>
          <w:szCs w:val="22"/>
        </w:rPr>
        <w:t>, w części E. K</w:t>
      </w:r>
      <w:r w:rsidRPr="009320D8">
        <w:rPr>
          <w:rFonts w:ascii="Book Antiqua" w:eastAsia="Calibri" w:hAnsi="Book Antiqua"/>
          <w:b/>
          <w:bCs/>
          <w:sz w:val="22"/>
          <w:szCs w:val="22"/>
        </w:rPr>
        <w:t>ryteria techniczne specyficzne</w:t>
      </w:r>
      <w:r>
        <w:rPr>
          <w:rFonts w:ascii="Book Antiqua" w:eastAsia="Calibri" w:hAnsi="Book Antiqua"/>
          <w:b/>
          <w:bCs/>
          <w:sz w:val="22"/>
          <w:szCs w:val="22"/>
        </w:rPr>
        <w:t xml:space="preserve"> pkt 4 </w:t>
      </w:r>
      <w:r w:rsidRPr="009320D8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Projekt spełnia pozostałe warunki specyficzne określone w Regulaminie </w:t>
      </w:r>
      <w:r w:rsidRPr="009320D8">
        <w:rPr>
          <w:rFonts w:ascii="Book Antiqua" w:eastAsia="Calibri" w:hAnsi="Book Antiqua"/>
          <w:b/>
          <w:bCs/>
          <w:i/>
          <w:iCs/>
          <w:sz w:val="22"/>
          <w:szCs w:val="22"/>
        </w:rPr>
        <w:t>konkursu</w:t>
      </w:r>
      <w:r w:rsidRPr="009320D8">
        <w:rPr>
          <w:rFonts w:ascii="Book Antiqua" w:eastAsia="Calibri" w:hAnsi="Book Antiqua"/>
          <w:b/>
          <w:bCs/>
          <w:sz w:val="22"/>
          <w:szCs w:val="22"/>
        </w:rPr>
        <w:t xml:space="preserve"> </w:t>
      </w:r>
      <w:r>
        <w:rPr>
          <w:rFonts w:ascii="Book Antiqua" w:eastAsia="Calibri" w:hAnsi="Book Antiqua"/>
          <w:b/>
          <w:bCs/>
          <w:sz w:val="22"/>
          <w:szCs w:val="22"/>
        </w:rPr>
        <w:t xml:space="preserve">Definicja kryterium </w:t>
      </w:r>
      <w:r w:rsidRPr="009320D8">
        <w:rPr>
          <w:rFonts w:ascii="Book Antiqua" w:eastAsia="Calibri" w:hAnsi="Book Antiqua"/>
          <w:b/>
          <w:bCs/>
          <w:i/>
          <w:iCs/>
          <w:sz w:val="22"/>
          <w:szCs w:val="22"/>
        </w:rPr>
        <w:t>Warunki specyficzne dla Działania 5.1</w:t>
      </w:r>
      <w:r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… </w:t>
      </w:r>
      <w:r>
        <w:rPr>
          <w:rFonts w:ascii="Book Antiqua" w:eastAsia="Calibri" w:hAnsi="Book Antiqua"/>
          <w:b/>
          <w:bCs/>
          <w:sz w:val="22"/>
          <w:szCs w:val="22"/>
        </w:rPr>
        <w:t xml:space="preserve">lit. c) brzmią następująco: </w:t>
      </w:r>
    </w:p>
    <w:p w:rsidR="009320D8" w:rsidRPr="009320D8" w:rsidRDefault="009320D8" w:rsidP="008D0893">
      <w:pPr>
        <w:pStyle w:val="Akapitzlist"/>
        <w:spacing w:line="276" w:lineRule="auto"/>
        <w:ind w:firstLine="0"/>
        <w:jc w:val="both"/>
        <w:rPr>
          <w:rFonts w:ascii="Book Antiqua" w:eastAsia="Calibri" w:hAnsi="Book Antiqua"/>
          <w:b/>
          <w:bCs/>
          <w:i/>
          <w:iCs/>
          <w:sz w:val="22"/>
          <w:szCs w:val="22"/>
        </w:rPr>
      </w:pPr>
      <w:r w:rsidRPr="009320D8">
        <w:rPr>
          <w:rFonts w:ascii="Book Antiqua" w:eastAsia="Calibri" w:hAnsi="Book Antiqua"/>
          <w:b/>
          <w:bCs/>
          <w:i/>
          <w:iCs/>
          <w:sz w:val="22"/>
          <w:szCs w:val="22"/>
        </w:rPr>
        <w:t>Czy projekt dotyczy inwestycji zlokalizowanej w budynku/lokalu posiadającym instalację centralnego ogrzewania lub/i miejscowego ogrzewania (z wyjątkiem pieca kaflowego, pieca wolnostojącego typu koza, elektrycznego przenośnego ogrzewacza pomieszczeń, przenośnych nagrzewnic na paliwo ciekłe lub gazowe)?</w:t>
      </w:r>
    </w:p>
    <w:p w:rsidR="00DF240E" w:rsidRPr="00DF240E" w:rsidRDefault="00C905B6" w:rsidP="008D0893">
      <w:pPr>
        <w:pStyle w:val="Akapitzlist"/>
        <w:spacing w:line="276" w:lineRule="auto"/>
        <w:ind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  <w:r>
        <w:rPr>
          <w:rFonts w:ascii="Book Antiqua" w:eastAsia="Calibri" w:hAnsi="Book Antiqua"/>
          <w:b/>
          <w:bCs/>
          <w:sz w:val="22"/>
          <w:szCs w:val="22"/>
        </w:rPr>
        <w:t>Czy</w:t>
      </w:r>
      <w:r w:rsidR="009320D8">
        <w:rPr>
          <w:rFonts w:ascii="Book Antiqua" w:eastAsia="Calibri" w:hAnsi="Book Antiqua"/>
          <w:b/>
          <w:bCs/>
          <w:sz w:val="22"/>
          <w:szCs w:val="22"/>
        </w:rPr>
        <w:t xml:space="preserve"> </w:t>
      </w:r>
      <w:r w:rsidR="008D0893">
        <w:rPr>
          <w:rFonts w:ascii="Book Antiqua" w:eastAsia="Calibri" w:hAnsi="Book Antiqua"/>
          <w:b/>
          <w:bCs/>
          <w:sz w:val="22"/>
          <w:szCs w:val="22"/>
        </w:rPr>
        <w:t xml:space="preserve">w związku z powyższym, </w:t>
      </w:r>
      <w:r>
        <w:rPr>
          <w:rFonts w:ascii="Book Antiqua" w:eastAsia="Calibri" w:hAnsi="Book Antiqua"/>
          <w:b/>
          <w:bCs/>
          <w:sz w:val="22"/>
          <w:szCs w:val="22"/>
        </w:rPr>
        <w:t xml:space="preserve">posiadane w budynku </w:t>
      </w:r>
      <w:r w:rsidR="00DF240E">
        <w:rPr>
          <w:rFonts w:ascii="Book Antiqua" w:eastAsia="Calibri" w:hAnsi="Book Antiqua"/>
          <w:b/>
          <w:bCs/>
          <w:sz w:val="22"/>
          <w:szCs w:val="22"/>
        </w:rPr>
        <w:t xml:space="preserve"> </w:t>
      </w:r>
      <w:r>
        <w:rPr>
          <w:rFonts w:ascii="Book Antiqua" w:eastAsia="Calibri" w:hAnsi="Book Antiqua"/>
          <w:b/>
          <w:bCs/>
          <w:sz w:val="22"/>
          <w:szCs w:val="22"/>
        </w:rPr>
        <w:t xml:space="preserve">stacjonarne elektryczne ogrzewanie, zamontowane na stałe, ogrzewające budynek po wcześniejszym podłączeniu do prądu za pomocą wtyczki kontaktowej </w:t>
      </w:r>
      <w:r w:rsidR="009320D8">
        <w:rPr>
          <w:rFonts w:ascii="Book Antiqua" w:eastAsia="Calibri" w:hAnsi="Book Antiqua"/>
          <w:b/>
          <w:bCs/>
          <w:sz w:val="22"/>
          <w:szCs w:val="22"/>
        </w:rPr>
        <w:t xml:space="preserve">spełnia powyższe kryterium i </w:t>
      </w:r>
      <w:r>
        <w:rPr>
          <w:rFonts w:ascii="Book Antiqua" w:eastAsia="Calibri" w:hAnsi="Book Antiqua"/>
          <w:b/>
          <w:bCs/>
          <w:sz w:val="22"/>
          <w:szCs w:val="22"/>
        </w:rPr>
        <w:t>może zostać zakwalifikowane do uzyskania dofinansowania</w:t>
      </w:r>
      <w:r w:rsidR="00DF240E">
        <w:rPr>
          <w:rFonts w:ascii="Book Antiqua" w:eastAsia="Calibri" w:hAnsi="Book Antiqua"/>
          <w:b/>
          <w:bCs/>
          <w:sz w:val="22"/>
          <w:szCs w:val="22"/>
        </w:rPr>
        <w:t>?</w:t>
      </w: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ED1291" w:rsidRDefault="00A51851" w:rsidP="008D0893">
      <w:pPr>
        <w:pStyle w:val="Default"/>
        <w:spacing w:line="276" w:lineRule="auto"/>
        <w:jc w:val="both"/>
        <w:rPr>
          <w:rFonts w:ascii="Book Antiqua" w:eastAsia="Calibri" w:hAnsi="Book Antiqua"/>
          <w:sz w:val="22"/>
          <w:szCs w:val="22"/>
        </w:rPr>
      </w:pPr>
      <w:r>
        <w:rPr>
          <w:rFonts w:ascii="Book Antiqua" w:eastAsia="Calibri" w:hAnsi="Book Antiqua"/>
          <w:sz w:val="22"/>
          <w:szCs w:val="22"/>
        </w:rPr>
        <w:t>S</w:t>
      </w:r>
      <w:r w:rsidR="00C905B6">
        <w:rPr>
          <w:rFonts w:ascii="Book Antiqua" w:eastAsia="Calibri" w:hAnsi="Book Antiqua"/>
          <w:sz w:val="22"/>
          <w:szCs w:val="22"/>
        </w:rPr>
        <w:t>ystem ogrzewania miejscowego spełnia kryterium oceny w zakresie Kryterium Tec</w:t>
      </w:r>
      <w:r w:rsidR="00ED1291">
        <w:rPr>
          <w:rFonts w:ascii="Book Antiqua" w:eastAsia="Calibri" w:hAnsi="Book Antiqua"/>
          <w:sz w:val="22"/>
          <w:szCs w:val="22"/>
        </w:rPr>
        <w:t>hnicznego Specyficznego pkt 4c</w:t>
      </w:r>
      <w:r>
        <w:rPr>
          <w:rFonts w:ascii="Book Antiqua" w:eastAsia="Calibri" w:hAnsi="Book Antiqua"/>
          <w:sz w:val="22"/>
          <w:szCs w:val="22"/>
        </w:rPr>
        <w:t>) i kwalifikuje się do dofinansowania.</w:t>
      </w:r>
    </w:p>
    <w:p w:rsidR="00ED1291" w:rsidRPr="00ED1291" w:rsidRDefault="00ED1291" w:rsidP="008D0893">
      <w:pPr>
        <w:pStyle w:val="Default"/>
        <w:spacing w:line="276" w:lineRule="auto"/>
        <w:jc w:val="both"/>
        <w:rPr>
          <w:rFonts w:cstheme="minorBidi"/>
          <w:color w:val="auto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56D44" w:rsidP="008D0893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Book Antiqua" w:eastAsia="Calibri" w:hAnsi="Book Antiqua"/>
          <w:b/>
          <w:bCs/>
          <w:sz w:val="22"/>
          <w:szCs w:val="22"/>
        </w:rPr>
      </w:pPr>
      <w:r>
        <w:rPr>
          <w:rFonts w:ascii="Book Antiqua" w:eastAsia="Calibri" w:hAnsi="Book Antiqua"/>
          <w:b/>
          <w:bCs/>
          <w:sz w:val="22"/>
          <w:szCs w:val="22"/>
        </w:rPr>
        <w:t xml:space="preserve">Przedsiębiorstwo w okresie bieżącym wykazuje status „zagrożone upadłością”. Czy w </w:t>
      </w:r>
      <w:r w:rsidR="00ED1291">
        <w:rPr>
          <w:rFonts w:ascii="Book Antiqua" w:eastAsia="Calibri" w:hAnsi="Book Antiqua"/>
          <w:b/>
          <w:bCs/>
          <w:sz w:val="22"/>
          <w:szCs w:val="22"/>
        </w:rPr>
        <w:t>związku z taką wartością oceny p</w:t>
      </w:r>
      <w:r>
        <w:rPr>
          <w:rFonts w:ascii="Book Antiqua" w:eastAsia="Calibri" w:hAnsi="Book Antiqua"/>
          <w:b/>
          <w:bCs/>
          <w:sz w:val="22"/>
          <w:szCs w:val="22"/>
        </w:rPr>
        <w:t xml:space="preserve">rzedsiębiorstwa w bieżącym okresie, Wnioskodawca może starać się </w:t>
      </w:r>
      <w:r w:rsidR="00A421D4">
        <w:rPr>
          <w:rFonts w:ascii="Book Antiqua" w:eastAsia="Calibri" w:hAnsi="Book Antiqua"/>
          <w:b/>
          <w:bCs/>
          <w:sz w:val="22"/>
          <w:szCs w:val="22"/>
        </w:rPr>
        <w:t>o wsparcie? Czy jednocześnie będzie spełniać kryterium ekonomiczne</w:t>
      </w:r>
      <w:r w:rsidR="00DF240E">
        <w:rPr>
          <w:rFonts w:ascii="Book Antiqua" w:eastAsia="Calibri" w:hAnsi="Book Antiqua"/>
          <w:b/>
          <w:bCs/>
          <w:sz w:val="22"/>
          <w:szCs w:val="22"/>
        </w:rPr>
        <w:t>?</w:t>
      </w:r>
      <w:r w:rsidR="00DF240E" w:rsidRPr="00DF240E">
        <w:rPr>
          <w:rFonts w:ascii="Book Antiqua" w:eastAsia="Calibri" w:hAnsi="Book Antiqua"/>
          <w:b/>
          <w:bCs/>
          <w:sz w:val="22"/>
          <w:szCs w:val="22"/>
        </w:rPr>
        <w:t xml:space="preserve"> </w:t>
      </w:r>
    </w:p>
    <w:p w:rsidR="00DF240E" w:rsidRDefault="00DF240E" w:rsidP="008D0893">
      <w:pPr>
        <w:pStyle w:val="Akapitzlist"/>
        <w:spacing w:line="276" w:lineRule="auto"/>
        <w:ind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A421D4" w:rsidRPr="00A421D4" w:rsidRDefault="00A421D4" w:rsidP="008D0893">
      <w:pPr>
        <w:spacing w:after="120" w:line="276" w:lineRule="auto"/>
        <w:ind w:left="0" w:firstLine="0"/>
        <w:jc w:val="both"/>
        <w:rPr>
          <w:rFonts w:ascii="Book Antiqua" w:hAnsi="Book Antiqua"/>
          <w:sz w:val="22"/>
          <w:szCs w:val="22"/>
        </w:rPr>
      </w:pPr>
      <w:r w:rsidRPr="00A421D4">
        <w:rPr>
          <w:rFonts w:ascii="Book Antiqua" w:hAnsi="Book Antiqua"/>
          <w:sz w:val="22"/>
          <w:szCs w:val="22"/>
        </w:rPr>
        <w:t>Zgodnie z informacjami zawartymi w pkt</w:t>
      </w:r>
      <w:r w:rsidR="008D0893">
        <w:rPr>
          <w:rFonts w:ascii="Book Antiqua" w:hAnsi="Book Antiqua"/>
          <w:sz w:val="22"/>
          <w:szCs w:val="22"/>
        </w:rPr>
        <w:t>.</w:t>
      </w:r>
      <w:r w:rsidRPr="00A421D4">
        <w:rPr>
          <w:rFonts w:ascii="Book Antiqua" w:hAnsi="Book Antiqua"/>
          <w:sz w:val="22"/>
          <w:szCs w:val="22"/>
        </w:rPr>
        <w:t xml:space="preserve"> 4.4 ppkt 22 Regulaminu konkursu nr RPLU.05.01.00-IP.01-06-001/19, wsparcie w ramach Działania nie może być udzielone przedsiębiorstwom w trudnej sytuacji w rozumieniu art. 2 ust</w:t>
      </w:r>
      <w:r w:rsidR="008D0893">
        <w:rPr>
          <w:rFonts w:ascii="Book Antiqua" w:hAnsi="Book Antiqua"/>
          <w:sz w:val="22"/>
          <w:szCs w:val="22"/>
        </w:rPr>
        <w:t>.</w:t>
      </w:r>
      <w:r w:rsidRPr="00A421D4">
        <w:rPr>
          <w:rFonts w:ascii="Book Antiqua" w:hAnsi="Book Antiqua"/>
          <w:sz w:val="22"/>
          <w:szCs w:val="22"/>
        </w:rPr>
        <w:t xml:space="preserve"> 18 Rozporządzenia Komisji (UE) nr 651/2014.</w:t>
      </w:r>
    </w:p>
    <w:p w:rsidR="00A421D4" w:rsidRPr="00A421D4" w:rsidRDefault="00A421D4" w:rsidP="008D0893">
      <w:pPr>
        <w:spacing w:line="276" w:lineRule="auto"/>
        <w:ind w:left="0" w:firstLine="0"/>
        <w:jc w:val="both"/>
        <w:rPr>
          <w:rFonts w:ascii="Book Antiqua" w:hAnsi="Book Antiqua"/>
          <w:sz w:val="22"/>
          <w:szCs w:val="22"/>
        </w:rPr>
      </w:pPr>
      <w:r w:rsidRPr="00A421D4">
        <w:rPr>
          <w:rFonts w:ascii="Book Antiqua" w:hAnsi="Book Antiqua"/>
          <w:sz w:val="22"/>
          <w:szCs w:val="22"/>
        </w:rPr>
        <w:t xml:space="preserve">„Przedsiębiorstwo znajdujące się w trudnej sytuacji” oznacza przedsiębiorstwo, wobec którego zachodzi co najmniej jedna z poniższych okoliczności: </w:t>
      </w:r>
    </w:p>
    <w:p w:rsidR="00A421D4" w:rsidRPr="00A421D4" w:rsidRDefault="00A421D4" w:rsidP="008D089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A421D4">
        <w:rPr>
          <w:rFonts w:ascii="Book Antiqua" w:hAnsi="Book Antiqua"/>
          <w:sz w:val="22"/>
          <w:szCs w:val="22"/>
        </w:rPr>
        <w:t xml:space="preserve">a) w przypadku spółki z ograniczoną odpowiedzialnością (innej niż MŚP, które istnieje od mniej niż trzech lat lub, do celów kwalifikowalności pomocy na finansowanie ryzyka, MŚP w okresie siedmiu lat od daty pierwszej sprzedaży komercyjnej, które kwalifikuje się do inwestycji w zakresie finansowania ryzyka w następstwie przeprowadzenia procedury due diligence przez wybranego pośrednika finansowego), w przypadku gdy ponad połowa jej subskrybowanego kapitału zakładowego została utracona w efekcie zakumulowanych strat. Taka sytuacja ma miejsce, gdy w wyniku odliczenia od rezerw (i wszystkich innych elementów uznawanych za część </w:t>
      </w:r>
      <w:r w:rsidRPr="00A421D4">
        <w:rPr>
          <w:rFonts w:ascii="Book Antiqua" w:hAnsi="Book Antiqua"/>
          <w:sz w:val="22"/>
          <w:szCs w:val="22"/>
        </w:rPr>
        <w:lastRenderedPageBreak/>
        <w:t>środków własnych przedsiębiorstwa) zakumulowanych strat powstaje ujemna skumulowana kwota, która przekracza połowę subskrybowanego kapitału zakładowego. Do celów niniejszego przepisu „spółka z ograniczoną odpowiedzialnością” odnosi się w szczególności do rodzajów jednostek podanych w załączniku I do dyrektywy 2013/34/UE (1), a „kapitał zakładowy” obejmuje, w stosownych przypadkach, wszelkie premie emisyjne;</w:t>
      </w:r>
    </w:p>
    <w:p w:rsidR="00A421D4" w:rsidRPr="00A421D4" w:rsidRDefault="00A421D4" w:rsidP="008D089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A421D4">
        <w:rPr>
          <w:rFonts w:ascii="Book Antiqua" w:hAnsi="Book Antiqua"/>
          <w:sz w:val="22"/>
          <w:szCs w:val="22"/>
        </w:rPr>
        <w:t xml:space="preserve">b) w przypadku spółki, w której co najmniej niektórzy członkowie ponoszą nieograniczoną odpowiedzialność za jej zadłużenie (innej niż MŚP, które istnieje od mniej niż trzech lat lub, do celów kwalifikowalności pomocy na finansowanie ryzyka, MŚP w okresie siedmiu lat od daty pierwszej sprzedaży komercyjnej, które kwalifikuje się do inwestycji w zakresie finansowania ryzyka w następstwie przeprowadzenia procedury due diligence przez wybranego pośrednika finansowego), w przypadku gdy ponad połowa jej kapitału wykazanego w sprawozdaniach finansowych tej spółki została utracona w efekcie zakumulowanych strat. Do celów niniejszego przepisu „spółka, w której co najmniej niektórzy członkowie ponoszą nieograniczoną odpowiedzialność za jej zadłużenie” odnosi się w szczególności do rodzajów jednostek wymienionych w załączniku II do dyrektywy 2013/34/UE; </w:t>
      </w:r>
    </w:p>
    <w:p w:rsidR="00A421D4" w:rsidRPr="00A421D4" w:rsidRDefault="00A421D4" w:rsidP="008D089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A421D4">
        <w:rPr>
          <w:rFonts w:ascii="Book Antiqua" w:hAnsi="Book Antiqua"/>
          <w:sz w:val="22"/>
          <w:szCs w:val="22"/>
        </w:rPr>
        <w:t xml:space="preserve">c) w sytuacji gdy przedsiębiorstwo podlega zbiorowemu postępowaniu w związku z niewypłacalnością lub spełnia kryteria na mocy obowiązującego prawa krajowego, by zostać objętym zbiorowym podstępowaniem w związku z niewypłacalnością na wniosek jej wierzycieli; </w:t>
      </w:r>
    </w:p>
    <w:p w:rsidR="00A421D4" w:rsidRPr="00A421D4" w:rsidRDefault="00A421D4" w:rsidP="008D089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A421D4">
        <w:rPr>
          <w:rFonts w:ascii="Book Antiqua" w:hAnsi="Book Antiqua"/>
          <w:sz w:val="22"/>
          <w:szCs w:val="22"/>
        </w:rPr>
        <w:t>d) w sytuacji gdy przedsiębiorstwo otrzymało pomoc na ratowanie i nie spłaciło do tej pory pożyczki ani nie zakończyło umowy o gwarancję lub otrzymało pomoc na restrukturyzację i nadal podlega planowi restrukturyzacyjnemu;</w:t>
      </w:r>
    </w:p>
    <w:p w:rsidR="00A421D4" w:rsidRPr="00A421D4" w:rsidRDefault="00A421D4" w:rsidP="008D089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A421D4">
        <w:rPr>
          <w:rFonts w:ascii="Book Antiqua" w:hAnsi="Book Antiqua"/>
          <w:sz w:val="22"/>
          <w:szCs w:val="22"/>
        </w:rPr>
        <w:t>e) W przypadku przedsiębiorstwa, które nie jest MŚP, jeśli w ciągu ostatnich dwóch lat:1) stosunek księgowej wartości kapitału obcego do kapitału własnego tego przedsiębiorstwa przekracza 7,5 oraz 2) wskaźnik pokrycia odsetek zyskiem EBITDA tego przedsiębiorstwa wynosi poniżej 1,0.</w:t>
      </w:r>
    </w:p>
    <w:p w:rsidR="00A421D4" w:rsidRPr="00A421D4" w:rsidRDefault="00A421D4" w:rsidP="008D0893">
      <w:pPr>
        <w:spacing w:line="276" w:lineRule="auto"/>
        <w:ind w:left="0" w:firstLine="284"/>
        <w:jc w:val="both"/>
        <w:rPr>
          <w:rFonts w:ascii="Book Antiqua" w:hAnsi="Book Antiqua" w:cs="Arial"/>
          <w:snapToGrid w:val="0"/>
          <w:sz w:val="22"/>
          <w:szCs w:val="22"/>
          <w:lang w:eastAsia="en-GB"/>
        </w:rPr>
      </w:pPr>
    </w:p>
    <w:p w:rsidR="008D0893" w:rsidRDefault="00A421D4" w:rsidP="008D0893">
      <w:pPr>
        <w:spacing w:line="276" w:lineRule="auto"/>
        <w:ind w:left="0" w:firstLine="284"/>
        <w:jc w:val="both"/>
        <w:rPr>
          <w:rFonts w:ascii="Book Antiqua" w:hAnsi="Book Antiqua" w:cs="Arial"/>
          <w:bCs/>
          <w:sz w:val="22"/>
          <w:szCs w:val="22"/>
        </w:rPr>
      </w:pPr>
      <w:r w:rsidRPr="00A421D4">
        <w:rPr>
          <w:rFonts w:ascii="Book Antiqua" w:hAnsi="Book Antiqua" w:cs="Arial"/>
          <w:snapToGrid w:val="0"/>
          <w:sz w:val="22"/>
          <w:szCs w:val="22"/>
          <w:lang w:eastAsia="en-GB"/>
        </w:rPr>
        <w:t xml:space="preserve">Badanie </w:t>
      </w:r>
      <w:r w:rsidRPr="00A421D4">
        <w:rPr>
          <w:rFonts w:ascii="Book Antiqua" w:hAnsi="Book Antiqua" w:cs="Arial"/>
          <w:bCs/>
          <w:sz w:val="22"/>
          <w:szCs w:val="22"/>
        </w:rPr>
        <w:t>czy przedsiębiorstwo nie znajduje się w trudnej sytuacji finansowej przeprowadzane jest dwukrotnie:</w:t>
      </w:r>
    </w:p>
    <w:p w:rsidR="008D0893" w:rsidRPr="008D0893" w:rsidRDefault="008D0893" w:rsidP="008D0893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bCs/>
          <w:sz w:val="22"/>
          <w:szCs w:val="22"/>
        </w:rPr>
        <w:t>n</w:t>
      </w:r>
      <w:r w:rsidR="00A421D4" w:rsidRPr="008D0893">
        <w:rPr>
          <w:rFonts w:ascii="Book Antiqua" w:hAnsi="Book Antiqua" w:cs="Arial"/>
          <w:bCs/>
          <w:sz w:val="22"/>
          <w:szCs w:val="22"/>
        </w:rPr>
        <w:t>a etapie oceny merytorycznej kryteria techniczne „</w:t>
      </w:r>
      <w:r w:rsidR="00A421D4" w:rsidRPr="008D0893">
        <w:rPr>
          <w:rFonts w:ascii="Book Antiqua" w:hAnsi="Book Antiqua" w:cs="Arial"/>
          <w:sz w:val="22"/>
          <w:szCs w:val="22"/>
        </w:rPr>
        <w:t>Zgodność projektu z obowiązującymi przepisami prawa”</w:t>
      </w:r>
    </w:p>
    <w:p w:rsidR="008D0893" w:rsidRDefault="008D0893" w:rsidP="008D0893">
      <w:pPr>
        <w:pStyle w:val="Akapitzlist"/>
        <w:spacing w:line="276" w:lineRule="auto"/>
        <w:ind w:left="644" w:firstLine="0"/>
        <w:jc w:val="both"/>
        <w:rPr>
          <w:rFonts w:ascii="Book Antiqua" w:hAnsi="Book Antiqua" w:cs="Arial"/>
          <w:sz w:val="22"/>
          <w:szCs w:val="22"/>
        </w:rPr>
      </w:pPr>
      <w:r>
        <w:rPr>
          <w:rFonts w:ascii="Book Antiqua" w:hAnsi="Book Antiqua" w:cs="Arial"/>
          <w:sz w:val="22"/>
          <w:szCs w:val="22"/>
        </w:rPr>
        <w:t>o</w:t>
      </w:r>
      <w:r w:rsidR="00A421D4" w:rsidRPr="008D0893">
        <w:rPr>
          <w:rFonts w:ascii="Book Antiqua" w:hAnsi="Book Antiqua" w:cs="Arial"/>
          <w:sz w:val="22"/>
          <w:szCs w:val="22"/>
        </w:rPr>
        <w:t>raz</w:t>
      </w:r>
    </w:p>
    <w:p w:rsidR="00A421D4" w:rsidRPr="008D0893" w:rsidRDefault="00A421D4" w:rsidP="008D0893">
      <w:pPr>
        <w:spacing w:line="276" w:lineRule="auto"/>
        <w:ind w:firstLine="0"/>
        <w:jc w:val="both"/>
        <w:rPr>
          <w:rFonts w:ascii="Book Antiqua" w:hAnsi="Book Antiqua" w:cs="Arial"/>
          <w:bCs/>
          <w:sz w:val="22"/>
          <w:szCs w:val="22"/>
        </w:rPr>
      </w:pPr>
      <w:r w:rsidRPr="008D0893">
        <w:rPr>
          <w:rFonts w:ascii="Book Antiqua" w:hAnsi="Book Antiqua" w:cs="Arial"/>
          <w:sz w:val="22"/>
          <w:szCs w:val="22"/>
        </w:rPr>
        <w:t xml:space="preserve">2) </w:t>
      </w:r>
      <w:r w:rsidR="008D0893">
        <w:rPr>
          <w:rFonts w:ascii="Book Antiqua" w:hAnsi="Book Antiqua" w:cs="Arial"/>
          <w:sz w:val="22"/>
          <w:szCs w:val="22"/>
        </w:rPr>
        <w:tab/>
      </w:r>
      <w:bookmarkStart w:id="1" w:name="_GoBack"/>
      <w:bookmarkEnd w:id="1"/>
      <w:r w:rsidR="008D0893">
        <w:rPr>
          <w:rFonts w:ascii="Book Antiqua" w:hAnsi="Book Antiqua" w:cs="Arial"/>
          <w:sz w:val="22"/>
          <w:szCs w:val="22"/>
        </w:rPr>
        <w:t>p</w:t>
      </w:r>
      <w:r w:rsidRPr="008D0893">
        <w:rPr>
          <w:rFonts w:ascii="Book Antiqua" w:hAnsi="Book Antiqua" w:cs="Arial"/>
          <w:sz w:val="22"/>
          <w:szCs w:val="22"/>
        </w:rPr>
        <w:t xml:space="preserve">rzed </w:t>
      </w:r>
      <w:r w:rsidRPr="008D0893">
        <w:rPr>
          <w:rFonts w:ascii="Book Antiqua" w:hAnsi="Book Antiqua" w:cs="Arial"/>
          <w:bCs/>
          <w:sz w:val="22"/>
          <w:szCs w:val="22"/>
        </w:rPr>
        <w:t xml:space="preserve">podpisaniem umowy o dofinansowanie. </w:t>
      </w:r>
    </w:p>
    <w:p w:rsidR="00A421D4" w:rsidRDefault="00A421D4" w:rsidP="008D0893">
      <w:pPr>
        <w:autoSpaceDE w:val="0"/>
        <w:autoSpaceDN w:val="0"/>
        <w:adjustRightInd w:val="0"/>
        <w:spacing w:line="276" w:lineRule="auto"/>
        <w:ind w:left="0" w:firstLine="284"/>
        <w:jc w:val="both"/>
        <w:rPr>
          <w:rFonts w:ascii="Book Antiqua" w:hAnsi="Book Antiqua" w:cs="Arial"/>
          <w:bCs/>
          <w:sz w:val="22"/>
          <w:szCs w:val="22"/>
        </w:rPr>
      </w:pPr>
    </w:p>
    <w:p w:rsidR="00A421D4" w:rsidRDefault="00A421D4" w:rsidP="008D0893">
      <w:pPr>
        <w:autoSpaceDE w:val="0"/>
        <w:autoSpaceDN w:val="0"/>
        <w:adjustRightInd w:val="0"/>
        <w:spacing w:line="276" w:lineRule="auto"/>
        <w:ind w:left="0" w:firstLine="284"/>
        <w:jc w:val="both"/>
        <w:rPr>
          <w:rFonts w:ascii="Book Antiqua" w:eastAsia="Calibri" w:hAnsi="Book Antiqua" w:cs="EUAlbertina-Regu"/>
          <w:sz w:val="22"/>
          <w:szCs w:val="22"/>
        </w:rPr>
      </w:pPr>
      <w:r w:rsidRPr="00A421D4">
        <w:rPr>
          <w:rFonts w:ascii="Book Antiqua" w:hAnsi="Book Antiqua" w:cs="Arial"/>
          <w:bCs/>
          <w:sz w:val="22"/>
          <w:szCs w:val="22"/>
        </w:rPr>
        <w:t>Badanie przeprowadza się w oparciu o dokumenty finansowe przedkładane do wniosku o dofinansowanie - sprawozdania finansowe.</w:t>
      </w:r>
      <w:r>
        <w:rPr>
          <w:rFonts w:ascii="Book Antiqua" w:hAnsi="Book Antiqua" w:cs="Arial"/>
          <w:bCs/>
          <w:sz w:val="22"/>
          <w:szCs w:val="22"/>
        </w:rPr>
        <w:t xml:space="preserve"> </w:t>
      </w:r>
      <w:r>
        <w:rPr>
          <w:rFonts w:ascii="Book Antiqua" w:eastAsia="Calibri" w:hAnsi="Book Antiqua" w:cs="EUAlbertina-Regu"/>
          <w:sz w:val="22"/>
          <w:szCs w:val="22"/>
        </w:rPr>
        <w:t xml:space="preserve">Ocena czy dane przedsiębiorstwo znajduje się w trudnej sytuacji przeprowadzana jest zawsze indywidualnie w oparciu o całość złożonej przez wnioskodawcę dokumentacji aplikacyjnej. W przypadku wątpliwości członków Komisji Oceny Projektów (KOP) wnioskodawca może zostać wezwany do złożenia dodatkowych załączników i wyjaśnień oraz zgodnie z Regulaminem konkursu może zostać powołany ekspert zewnętrzy z dziedziny finansowo-ekonomicznej do wydania opinii w tym zakresie. </w:t>
      </w:r>
      <w:r>
        <w:rPr>
          <w:rFonts w:ascii="Book Antiqua" w:hAnsi="Book Antiqua" w:cs="Calibri"/>
          <w:sz w:val="22"/>
          <w:szCs w:val="22"/>
        </w:rPr>
        <w:t xml:space="preserve">Jeżeli z przedłożonych dokumentów będzie wynikało, że przedsiębiorstwo spełnia </w:t>
      </w:r>
      <w:r>
        <w:rPr>
          <w:rFonts w:ascii="Book Antiqua" w:hAnsi="Book Antiqua"/>
          <w:sz w:val="22"/>
          <w:szCs w:val="22"/>
        </w:rPr>
        <w:t xml:space="preserve">co najmniej jedną z powyżej opisanych okoliczności - stanowi </w:t>
      </w:r>
      <w:r>
        <w:rPr>
          <w:rFonts w:ascii="Book Antiqua" w:hAnsi="Book Antiqua"/>
          <w:sz w:val="22"/>
          <w:szCs w:val="22"/>
        </w:rPr>
        <w:lastRenderedPageBreak/>
        <w:t>to podstawę do uznania Wnioskodawcy</w:t>
      </w:r>
      <w:r>
        <w:rPr>
          <w:rFonts w:ascii="Book Antiqua" w:hAnsi="Book Antiqua" w:cs="Calibri"/>
          <w:sz w:val="22"/>
          <w:szCs w:val="22"/>
        </w:rPr>
        <w:t xml:space="preserve"> w świetle przepisów Rozporządzenia Komisji (UE) nr 651/2014 za przedsiębiorstwo znajduje się w trudnej sytuacji i w konsekwencji spowoduje negatywną ocenę projektu.</w:t>
      </w:r>
    </w:p>
    <w:p w:rsidR="00DF240E" w:rsidRP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DF240E" w:rsidRDefault="00DF240E" w:rsidP="008D0893">
      <w:pPr>
        <w:spacing w:line="276" w:lineRule="auto"/>
        <w:ind w:left="0" w:firstLine="0"/>
        <w:jc w:val="both"/>
        <w:rPr>
          <w:rFonts w:ascii="Book Antiqua" w:eastAsia="Calibri" w:hAnsi="Book Antiqua"/>
          <w:b/>
          <w:bCs/>
          <w:sz w:val="22"/>
          <w:szCs w:val="22"/>
        </w:rPr>
      </w:pPr>
    </w:p>
    <w:p w:rsidR="00EC3CD9" w:rsidRPr="00551B0C" w:rsidRDefault="00EC3CD9" w:rsidP="008D0893">
      <w:pPr>
        <w:spacing w:line="276" w:lineRule="auto"/>
        <w:ind w:left="0" w:firstLine="0"/>
        <w:jc w:val="both"/>
        <w:rPr>
          <w:rFonts w:ascii="Book Antiqua" w:eastAsia="Calibri" w:hAnsi="Book Antiqua"/>
          <w:sz w:val="22"/>
          <w:szCs w:val="22"/>
          <w:lang w:eastAsia="en-US"/>
        </w:rPr>
      </w:pPr>
    </w:p>
    <w:p w:rsidR="00EC3CD9" w:rsidRPr="00DF240E" w:rsidRDefault="00EC3CD9" w:rsidP="008D0893">
      <w:pPr>
        <w:pStyle w:val="Akapitzlist"/>
        <w:spacing w:line="276" w:lineRule="auto"/>
        <w:ind w:firstLine="0"/>
        <w:jc w:val="both"/>
        <w:rPr>
          <w:rFonts w:ascii="Book Antiqua" w:hAnsi="Book Antiqua"/>
          <w:b/>
          <w:bCs/>
          <w:strike/>
          <w:sz w:val="22"/>
          <w:szCs w:val="22"/>
        </w:rPr>
      </w:pPr>
    </w:p>
    <w:p w:rsidR="006E71CE" w:rsidRDefault="006E71CE" w:rsidP="008D0893">
      <w:pPr>
        <w:spacing w:line="276" w:lineRule="auto"/>
        <w:ind w:left="0" w:firstLine="0"/>
        <w:jc w:val="both"/>
        <w:rPr>
          <w:rFonts w:ascii="Book Antiqua" w:hAnsi="Book Antiqua"/>
          <w:sz w:val="22"/>
          <w:szCs w:val="22"/>
        </w:rPr>
      </w:pPr>
    </w:p>
    <w:sectPr w:rsidR="006E71CE" w:rsidSect="00455845">
      <w:headerReference w:type="default" r:id="rId8"/>
      <w:footerReference w:type="default" r:id="rId9"/>
      <w:pgSz w:w="11906" w:h="16838"/>
      <w:pgMar w:top="1417" w:right="707" w:bottom="1417" w:left="1417" w:header="426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AB7" w:rsidRDefault="00897AB7" w:rsidP="00E02841">
      <w:r>
        <w:separator/>
      </w:r>
    </w:p>
  </w:endnote>
  <w:endnote w:type="continuationSeparator" w:id="0">
    <w:p w:rsidR="00897AB7" w:rsidRDefault="00897AB7" w:rsidP="00E0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Albertina-Regu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841" w:rsidRDefault="00551853" w:rsidP="00455845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FDF8CF1" wp14:editId="3E2F01FF">
          <wp:extent cx="5850255" cy="1116330"/>
          <wp:effectExtent l="0" t="0" r="0" b="762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AB7" w:rsidRDefault="00897AB7" w:rsidP="00E02841">
      <w:bookmarkStart w:id="0" w:name="_Hlk493670799"/>
      <w:bookmarkEnd w:id="0"/>
      <w:r>
        <w:separator/>
      </w:r>
    </w:p>
  </w:footnote>
  <w:footnote w:type="continuationSeparator" w:id="0">
    <w:p w:rsidR="00897AB7" w:rsidRDefault="00897AB7" w:rsidP="00E02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841" w:rsidRDefault="00E02841" w:rsidP="00E02841">
    <w:pPr>
      <w:pStyle w:val="Nagwek"/>
      <w:ind w:left="-1134"/>
    </w:pPr>
    <w:r w:rsidRPr="00E0284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7E8452FD" wp14:editId="3570C0A0">
          <wp:simplePos x="0" y="0"/>
          <wp:positionH relativeFrom="column">
            <wp:posOffset>-619125</wp:posOffset>
          </wp:positionH>
          <wp:positionV relativeFrom="paragraph">
            <wp:posOffset>104775</wp:posOffset>
          </wp:positionV>
          <wp:extent cx="1485900" cy="690880"/>
          <wp:effectExtent l="19050" t="0" r="0" b="0"/>
          <wp:wrapNone/>
          <wp:docPr id="9" name="Obraz 9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02841" w:rsidRPr="00E02841" w:rsidRDefault="00E02841" w:rsidP="00E02841">
    <w:pPr>
      <w:pStyle w:val="Nagwek"/>
      <w:ind w:left="-1134"/>
      <w:jc w:val="right"/>
      <w:rPr>
        <w:sz w:val="20"/>
        <w:szCs w:val="20"/>
      </w:rPr>
    </w:pPr>
    <w:r w:rsidRPr="00E02841">
      <w:rPr>
        <w:sz w:val="20"/>
        <w:szCs w:val="20"/>
      </w:rPr>
      <w:t>ul. Wojciechowska 9a, 20-704 Lublin</w:t>
    </w:r>
  </w:p>
  <w:p w:rsidR="00E02841" w:rsidRPr="00E02841" w:rsidRDefault="00E02841" w:rsidP="00E02841">
    <w:pPr>
      <w:pStyle w:val="Nagwek"/>
      <w:ind w:left="-1134"/>
      <w:jc w:val="right"/>
      <w:rPr>
        <w:sz w:val="20"/>
        <w:szCs w:val="20"/>
      </w:rPr>
    </w:pPr>
    <w:r w:rsidRPr="00E02841">
      <w:rPr>
        <w:sz w:val="20"/>
        <w:szCs w:val="20"/>
      </w:rPr>
      <w:t>tel. 81 462 38 00</w:t>
    </w:r>
  </w:p>
  <w:p w:rsidR="00E02841" w:rsidRPr="00663892" w:rsidRDefault="00E02841" w:rsidP="00E02841">
    <w:pPr>
      <w:pStyle w:val="Nagwek"/>
      <w:ind w:left="-1134"/>
      <w:jc w:val="right"/>
      <w:rPr>
        <w:sz w:val="20"/>
        <w:szCs w:val="20"/>
        <w:lang w:val="en-US"/>
      </w:rPr>
    </w:pPr>
    <w:r w:rsidRPr="00663892">
      <w:rPr>
        <w:sz w:val="20"/>
        <w:szCs w:val="20"/>
        <w:lang w:val="en-US"/>
      </w:rPr>
      <w:t>fax 81 462 38 40</w:t>
    </w:r>
  </w:p>
  <w:p w:rsidR="00E02841" w:rsidRPr="00663892" w:rsidRDefault="00E02841" w:rsidP="00E02841">
    <w:pPr>
      <w:pStyle w:val="Nagwek"/>
      <w:ind w:left="-1134"/>
      <w:jc w:val="right"/>
      <w:rPr>
        <w:sz w:val="20"/>
        <w:szCs w:val="20"/>
        <w:lang w:val="en-US"/>
      </w:rPr>
    </w:pPr>
    <w:r w:rsidRPr="00663892">
      <w:rPr>
        <w:sz w:val="20"/>
        <w:szCs w:val="20"/>
        <w:lang w:val="en-US"/>
      </w:rPr>
      <w:t>e-mail: lawp@lubelskie.pl</w:t>
    </w:r>
  </w:p>
  <w:p w:rsidR="00E02841" w:rsidRPr="00663892" w:rsidRDefault="00E02841" w:rsidP="00E02841">
    <w:pPr>
      <w:pStyle w:val="Nagwek"/>
      <w:ind w:left="-1134"/>
      <w:jc w:val="right"/>
      <w:rPr>
        <w:sz w:val="20"/>
        <w:szCs w:val="20"/>
        <w:lang w:val="en-US"/>
      </w:rPr>
    </w:pPr>
    <w:r w:rsidRPr="00663892">
      <w:rPr>
        <w:sz w:val="20"/>
        <w:szCs w:val="20"/>
        <w:lang w:val="en-US"/>
      </w:rPr>
      <w:t>www.rpo.lubelskie.pl</w:t>
    </w:r>
  </w:p>
  <w:p w:rsidR="00E02841" w:rsidRPr="00663892" w:rsidRDefault="00E02841" w:rsidP="00E02841">
    <w:pPr>
      <w:pStyle w:val="Nagwek"/>
      <w:pBdr>
        <w:bottom w:val="single" w:sz="4" w:space="1" w:color="auto"/>
      </w:pBdr>
      <w:ind w:left="-1134"/>
      <w:jc w:val="right"/>
      <w:rPr>
        <w:sz w:val="20"/>
        <w:szCs w:val="20"/>
        <w:lang w:val="en-US"/>
      </w:rPr>
    </w:pPr>
    <w:r w:rsidRPr="00663892">
      <w:rPr>
        <w:sz w:val="20"/>
        <w:szCs w:val="20"/>
        <w:lang w:val="en-US"/>
      </w:rPr>
      <w:t>www.lawp.eu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20F70"/>
    <w:multiLevelType w:val="hybridMultilevel"/>
    <w:tmpl w:val="3DF433BA"/>
    <w:lvl w:ilvl="0" w:tplc="A2A0543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5D948E1"/>
    <w:multiLevelType w:val="hybridMultilevel"/>
    <w:tmpl w:val="6CD22AE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C0F7C40"/>
    <w:multiLevelType w:val="hybridMultilevel"/>
    <w:tmpl w:val="6CD22AE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F0B7FB4"/>
    <w:multiLevelType w:val="hybridMultilevel"/>
    <w:tmpl w:val="57ACDC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614A9"/>
    <w:multiLevelType w:val="hybridMultilevel"/>
    <w:tmpl w:val="463264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BA60F0"/>
    <w:multiLevelType w:val="hybridMultilevel"/>
    <w:tmpl w:val="948086EE"/>
    <w:lvl w:ilvl="0" w:tplc="65A038B2">
      <w:start w:val="1"/>
      <w:numFmt w:val="lowerLetter"/>
      <w:lvlText w:val="%1)"/>
      <w:lvlJc w:val="left"/>
      <w:pPr>
        <w:ind w:left="108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656C26"/>
    <w:multiLevelType w:val="hybridMultilevel"/>
    <w:tmpl w:val="55E4984C"/>
    <w:lvl w:ilvl="0" w:tplc="65A038B2">
      <w:start w:val="1"/>
      <w:numFmt w:val="lowerLetter"/>
      <w:lvlText w:val="%1)"/>
      <w:lvlJc w:val="left"/>
      <w:pPr>
        <w:ind w:left="108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6483E"/>
    <w:multiLevelType w:val="hybridMultilevel"/>
    <w:tmpl w:val="DA70B524"/>
    <w:lvl w:ilvl="0" w:tplc="0415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 w15:restartNumberingAfterBreak="0">
    <w:nsid w:val="70B822D6"/>
    <w:multiLevelType w:val="hybridMultilevel"/>
    <w:tmpl w:val="5D68D47C"/>
    <w:lvl w:ilvl="0" w:tplc="5AB8AC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001F2"/>
    <w:multiLevelType w:val="hybridMultilevel"/>
    <w:tmpl w:val="8EBE933C"/>
    <w:lvl w:ilvl="0" w:tplc="025E51AC">
      <w:start w:val="1"/>
      <w:numFmt w:val="decimal"/>
      <w:lvlText w:val="%1."/>
      <w:lvlJc w:val="left"/>
      <w:pPr>
        <w:ind w:left="1353" w:hanging="64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EAA"/>
    <w:rsid w:val="0001431B"/>
    <w:rsid w:val="00034AD9"/>
    <w:rsid w:val="00064FEB"/>
    <w:rsid w:val="00067D02"/>
    <w:rsid w:val="0007003D"/>
    <w:rsid w:val="00072B84"/>
    <w:rsid w:val="00080482"/>
    <w:rsid w:val="00092751"/>
    <w:rsid w:val="000E0DDC"/>
    <w:rsid w:val="000F29A7"/>
    <w:rsid w:val="001000B2"/>
    <w:rsid w:val="00147436"/>
    <w:rsid w:val="001626E1"/>
    <w:rsid w:val="0016659B"/>
    <w:rsid w:val="00191746"/>
    <w:rsid w:val="00194FF8"/>
    <w:rsid w:val="001D7C81"/>
    <w:rsid w:val="001E0586"/>
    <w:rsid w:val="001E1C04"/>
    <w:rsid w:val="001F2D06"/>
    <w:rsid w:val="00215EA8"/>
    <w:rsid w:val="00221D8B"/>
    <w:rsid w:val="00223563"/>
    <w:rsid w:val="002540A9"/>
    <w:rsid w:val="00260D5B"/>
    <w:rsid w:val="002657DF"/>
    <w:rsid w:val="00273A97"/>
    <w:rsid w:val="00274CFC"/>
    <w:rsid w:val="002A2647"/>
    <w:rsid w:val="002A4412"/>
    <w:rsid w:val="002A6356"/>
    <w:rsid w:val="002B0F3B"/>
    <w:rsid w:val="002C76C8"/>
    <w:rsid w:val="002D6B0B"/>
    <w:rsid w:val="00306D1C"/>
    <w:rsid w:val="00317AE7"/>
    <w:rsid w:val="00324692"/>
    <w:rsid w:val="0034475C"/>
    <w:rsid w:val="0036400E"/>
    <w:rsid w:val="003E279F"/>
    <w:rsid w:val="00455845"/>
    <w:rsid w:val="00464935"/>
    <w:rsid w:val="004822A6"/>
    <w:rsid w:val="00483A7E"/>
    <w:rsid w:val="00487EAA"/>
    <w:rsid w:val="005329F5"/>
    <w:rsid w:val="00551853"/>
    <w:rsid w:val="00551B0C"/>
    <w:rsid w:val="00557B7A"/>
    <w:rsid w:val="005664A9"/>
    <w:rsid w:val="005E133D"/>
    <w:rsid w:val="0060120D"/>
    <w:rsid w:val="00611DCD"/>
    <w:rsid w:val="00630DE8"/>
    <w:rsid w:val="00662B0D"/>
    <w:rsid w:val="00663892"/>
    <w:rsid w:val="00673814"/>
    <w:rsid w:val="006A5BF0"/>
    <w:rsid w:val="006E71CE"/>
    <w:rsid w:val="0070244E"/>
    <w:rsid w:val="007273FC"/>
    <w:rsid w:val="007349DA"/>
    <w:rsid w:val="0074044D"/>
    <w:rsid w:val="00746A4D"/>
    <w:rsid w:val="007504D0"/>
    <w:rsid w:val="007804B0"/>
    <w:rsid w:val="00792358"/>
    <w:rsid w:val="007C5595"/>
    <w:rsid w:val="007D2288"/>
    <w:rsid w:val="007D569A"/>
    <w:rsid w:val="007D7788"/>
    <w:rsid w:val="007E4F70"/>
    <w:rsid w:val="007F54EA"/>
    <w:rsid w:val="007F5F18"/>
    <w:rsid w:val="00802FC1"/>
    <w:rsid w:val="008074D5"/>
    <w:rsid w:val="00823AFC"/>
    <w:rsid w:val="00841500"/>
    <w:rsid w:val="008609B5"/>
    <w:rsid w:val="00877D13"/>
    <w:rsid w:val="008858B5"/>
    <w:rsid w:val="00897AB7"/>
    <w:rsid w:val="008A1C85"/>
    <w:rsid w:val="008D0893"/>
    <w:rsid w:val="008F2B59"/>
    <w:rsid w:val="009027C4"/>
    <w:rsid w:val="009320D8"/>
    <w:rsid w:val="0093733A"/>
    <w:rsid w:val="00974C33"/>
    <w:rsid w:val="00977A45"/>
    <w:rsid w:val="00983D7A"/>
    <w:rsid w:val="009C1C20"/>
    <w:rsid w:val="009C725F"/>
    <w:rsid w:val="009D5A13"/>
    <w:rsid w:val="009E2AF8"/>
    <w:rsid w:val="00A218EC"/>
    <w:rsid w:val="00A24C7D"/>
    <w:rsid w:val="00A414DD"/>
    <w:rsid w:val="00A421D4"/>
    <w:rsid w:val="00A51851"/>
    <w:rsid w:val="00A5374E"/>
    <w:rsid w:val="00A90390"/>
    <w:rsid w:val="00AC30F8"/>
    <w:rsid w:val="00AC3264"/>
    <w:rsid w:val="00AE304C"/>
    <w:rsid w:val="00AE3246"/>
    <w:rsid w:val="00AF033D"/>
    <w:rsid w:val="00AF5B34"/>
    <w:rsid w:val="00B42FC6"/>
    <w:rsid w:val="00B66A3E"/>
    <w:rsid w:val="00B87BC8"/>
    <w:rsid w:val="00BA5F2E"/>
    <w:rsid w:val="00BF00D7"/>
    <w:rsid w:val="00C03FC0"/>
    <w:rsid w:val="00C905B6"/>
    <w:rsid w:val="00C96A2D"/>
    <w:rsid w:val="00CB647F"/>
    <w:rsid w:val="00CC58E4"/>
    <w:rsid w:val="00CC634F"/>
    <w:rsid w:val="00CD0FFC"/>
    <w:rsid w:val="00CD7D37"/>
    <w:rsid w:val="00D060F1"/>
    <w:rsid w:val="00D12A07"/>
    <w:rsid w:val="00D12B43"/>
    <w:rsid w:val="00D26897"/>
    <w:rsid w:val="00D45E7C"/>
    <w:rsid w:val="00D56D44"/>
    <w:rsid w:val="00D819BA"/>
    <w:rsid w:val="00D86B8C"/>
    <w:rsid w:val="00D9205B"/>
    <w:rsid w:val="00DA09D1"/>
    <w:rsid w:val="00DC5F6D"/>
    <w:rsid w:val="00DD140D"/>
    <w:rsid w:val="00DE0E43"/>
    <w:rsid w:val="00DF240E"/>
    <w:rsid w:val="00E02841"/>
    <w:rsid w:val="00E04C88"/>
    <w:rsid w:val="00E13FE5"/>
    <w:rsid w:val="00E16602"/>
    <w:rsid w:val="00E526A3"/>
    <w:rsid w:val="00E66BAE"/>
    <w:rsid w:val="00EC3CD9"/>
    <w:rsid w:val="00ED1291"/>
    <w:rsid w:val="00EE09B5"/>
    <w:rsid w:val="00F02C94"/>
    <w:rsid w:val="00F45B3A"/>
    <w:rsid w:val="00F70FBE"/>
    <w:rsid w:val="00FF0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E5D74D"/>
  <w15:docId w15:val="{0FA7F696-4C47-47A7-B928-9EBD7DC37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63892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2841"/>
  </w:style>
  <w:style w:type="paragraph" w:styleId="Stopka">
    <w:name w:val="footer"/>
    <w:basedOn w:val="Normalny"/>
    <w:link w:val="Stopka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2841"/>
  </w:style>
  <w:style w:type="table" w:styleId="Tabela-Siatka">
    <w:name w:val="Table Grid"/>
    <w:basedOn w:val="Standardowy"/>
    <w:uiPriority w:val="39"/>
    <w:rsid w:val="00A4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665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659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Default">
    <w:name w:val="Default"/>
    <w:rsid w:val="009027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504D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6400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858B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CC634F"/>
    <w:pPr>
      <w:spacing w:before="100" w:beforeAutospacing="1" w:after="100" w:afterAutospacing="1"/>
      <w:ind w:left="0" w:firstLine="0"/>
    </w:pPr>
  </w:style>
  <w:style w:type="character" w:styleId="Tekstzastpczy">
    <w:name w:val="Placeholder Text"/>
    <w:basedOn w:val="Domylnaczcionkaakapitu"/>
    <w:uiPriority w:val="99"/>
    <w:semiHidden/>
    <w:rsid w:val="00F45B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9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D28C8-6744-44A6-9895-0B6563CDE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820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Romanek</dc:creator>
  <cp:lastModifiedBy>Beata Michalik-Kania</cp:lastModifiedBy>
  <cp:revision>3</cp:revision>
  <cp:lastPrinted>2019-07-12T06:57:00Z</cp:lastPrinted>
  <dcterms:created xsi:type="dcterms:W3CDTF">2019-10-07T08:29:00Z</dcterms:created>
  <dcterms:modified xsi:type="dcterms:W3CDTF">2019-10-07T08:44:00Z</dcterms:modified>
</cp:coreProperties>
</file>