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50" w:rsidRPr="005072B1" w:rsidRDefault="00831750" w:rsidP="00147DA7">
      <w:pPr>
        <w:jc w:val="center"/>
        <w:rPr>
          <w:b/>
          <w:i/>
        </w:rPr>
      </w:pPr>
    </w:p>
    <w:p w:rsidR="00831750" w:rsidRPr="005072B1" w:rsidRDefault="00831750" w:rsidP="00147DA7">
      <w:pPr>
        <w:jc w:val="center"/>
        <w:rPr>
          <w:b/>
          <w:i/>
        </w:rPr>
      </w:pPr>
    </w:p>
    <w:p w:rsidR="00831750" w:rsidRPr="005072B1" w:rsidRDefault="00831750" w:rsidP="00147DA7">
      <w:pPr>
        <w:jc w:val="center"/>
        <w:rPr>
          <w:b/>
          <w:i/>
        </w:rPr>
      </w:pPr>
      <w:r w:rsidRPr="005072B1">
        <w:rPr>
          <w:b/>
          <w:i/>
        </w:rPr>
        <w:t xml:space="preserve">Wykaz zmian </w:t>
      </w:r>
    </w:p>
    <w:tbl>
      <w:tblPr>
        <w:tblW w:w="15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148"/>
        <w:gridCol w:w="4365"/>
        <w:gridCol w:w="3856"/>
        <w:gridCol w:w="3232"/>
      </w:tblGrid>
      <w:tr w:rsidR="005072B1" w:rsidRPr="00D972AC" w:rsidTr="00652CEE">
        <w:trPr>
          <w:trHeight w:val="416"/>
        </w:trPr>
        <w:tc>
          <w:tcPr>
            <w:tcW w:w="596" w:type="dxa"/>
            <w:shd w:val="clear" w:color="auto" w:fill="FDE9D9"/>
            <w:vAlign w:val="center"/>
          </w:tcPr>
          <w:p w:rsidR="00831750" w:rsidRPr="00D972AC" w:rsidRDefault="00831750" w:rsidP="009C04B9">
            <w:pPr>
              <w:spacing w:after="0" w:line="240" w:lineRule="auto"/>
              <w:jc w:val="center"/>
              <w:rPr>
                <w:rFonts w:asciiTheme="minorHAnsi" w:hAnsiTheme="minorHAnsi" w:cstheme="minorHAnsi"/>
                <w:b/>
                <w:i/>
              </w:rPr>
            </w:pPr>
            <w:r w:rsidRPr="00D972AC">
              <w:rPr>
                <w:rFonts w:asciiTheme="minorHAnsi" w:hAnsiTheme="minorHAnsi" w:cstheme="minorHAnsi"/>
                <w:b/>
                <w:i/>
              </w:rPr>
              <w:t>Lp.</w:t>
            </w:r>
          </w:p>
        </w:tc>
        <w:tc>
          <w:tcPr>
            <w:tcW w:w="3148" w:type="dxa"/>
            <w:shd w:val="clear" w:color="auto" w:fill="FDE9D9"/>
            <w:vAlign w:val="center"/>
          </w:tcPr>
          <w:p w:rsidR="00831750" w:rsidRPr="00D972AC" w:rsidRDefault="00831750" w:rsidP="009C04B9">
            <w:pPr>
              <w:spacing w:after="0" w:line="240" w:lineRule="auto"/>
              <w:jc w:val="center"/>
              <w:rPr>
                <w:rFonts w:asciiTheme="minorHAnsi" w:hAnsiTheme="minorHAnsi" w:cstheme="minorHAnsi"/>
                <w:b/>
                <w:i/>
              </w:rPr>
            </w:pPr>
            <w:r w:rsidRPr="00D972AC">
              <w:rPr>
                <w:rFonts w:asciiTheme="minorHAnsi" w:hAnsiTheme="minorHAnsi" w:cstheme="minorHAnsi"/>
                <w:b/>
                <w:i/>
              </w:rPr>
              <w:t>Rozdział/Podrozdział/Podpunkt</w:t>
            </w:r>
          </w:p>
        </w:tc>
        <w:tc>
          <w:tcPr>
            <w:tcW w:w="4365" w:type="dxa"/>
            <w:shd w:val="clear" w:color="auto" w:fill="FDE9D9"/>
            <w:vAlign w:val="center"/>
          </w:tcPr>
          <w:p w:rsidR="00831750" w:rsidRPr="00D972AC" w:rsidRDefault="00831750" w:rsidP="009C04B9">
            <w:pPr>
              <w:spacing w:after="0" w:line="240" w:lineRule="auto"/>
              <w:jc w:val="center"/>
              <w:rPr>
                <w:rFonts w:asciiTheme="minorHAnsi" w:hAnsiTheme="minorHAnsi" w:cstheme="minorHAnsi"/>
                <w:b/>
                <w:i/>
              </w:rPr>
            </w:pPr>
            <w:r w:rsidRPr="00D972AC">
              <w:rPr>
                <w:rFonts w:asciiTheme="minorHAnsi" w:hAnsiTheme="minorHAnsi" w:cstheme="minorHAnsi"/>
                <w:b/>
                <w:i/>
              </w:rPr>
              <w:t>Przed zmianą</w:t>
            </w:r>
          </w:p>
        </w:tc>
        <w:tc>
          <w:tcPr>
            <w:tcW w:w="3856" w:type="dxa"/>
            <w:shd w:val="clear" w:color="auto" w:fill="FDE9D9"/>
            <w:vAlign w:val="center"/>
          </w:tcPr>
          <w:p w:rsidR="00831750" w:rsidRPr="00D972AC" w:rsidRDefault="00831750" w:rsidP="009C04B9">
            <w:pPr>
              <w:spacing w:after="0" w:line="240" w:lineRule="auto"/>
              <w:jc w:val="center"/>
              <w:rPr>
                <w:rFonts w:asciiTheme="minorHAnsi" w:hAnsiTheme="minorHAnsi" w:cstheme="minorHAnsi"/>
                <w:b/>
                <w:i/>
              </w:rPr>
            </w:pPr>
            <w:r w:rsidRPr="00D972AC">
              <w:rPr>
                <w:rFonts w:asciiTheme="minorHAnsi" w:hAnsiTheme="minorHAnsi" w:cstheme="minorHAnsi"/>
                <w:b/>
                <w:i/>
              </w:rPr>
              <w:t>Po zmianie</w:t>
            </w:r>
          </w:p>
        </w:tc>
        <w:tc>
          <w:tcPr>
            <w:tcW w:w="3232" w:type="dxa"/>
            <w:shd w:val="clear" w:color="auto" w:fill="FDE9D9"/>
            <w:vAlign w:val="center"/>
          </w:tcPr>
          <w:p w:rsidR="00831750" w:rsidRPr="00D972AC" w:rsidRDefault="00831750" w:rsidP="009C04B9">
            <w:pPr>
              <w:spacing w:after="0" w:line="240" w:lineRule="auto"/>
              <w:jc w:val="center"/>
              <w:rPr>
                <w:rFonts w:asciiTheme="minorHAnsi" w:hAnsiTheme="minorHAnsi" w:cstheme="minorHAnsi"/>
                <w:b/>
                <w:i/>
              </w:rPr>
            </w:pPr>
            <w:r w:rsidRPr="00D972AC">
              <w:rPr>
                <w:rFonts w:asciiTheme="minorHAnsi" w:hAnsiTheme="minorHAnsi" w:cstheme="minorHAnsi"/>
                <w:b/>
                <w:i/>
              </w:rPr>
              <w:t>Uzasadnienie</w:t>
            </w:r>
          </w:p>
        </w:tc>
      </w:tr>
      <w:tr w:rsidR="00E2680E" w:rsidRPr="00D972AC" w:rsidTr="00652CEE">
        <w:trPr>
          <w:trHeight w:val="1531"/>
        </w:trPr>
        <w:tc>
          <w:tcPr>
            <w:tcW w:w="596" w:type="dxa"/>
          </w:tcPr>
          <w:p w:rsidR="00E2680E" w:rsidRPr="003E1539" w:rsidRDefault="00E2680E" w:rsidP="0045027D">
            <w:pPr>
              <w:pStyle w:val="Akapitzlist"/>
              <w:numPr>
                <w:ilvl w:val="0"/>
                <w:numId w:val="2"/>
              </w:numPr>
              <w:spacing w:after="0" w:line="240" w:lineRule="auto"/>
              <w:ind w:left="473"/>
              <w:rPr>
                <w:rFonts w:asciiTheme="minorHAnsi" w:hAnsiTheme="minorHAnsi" w:cstheme="minorHAnsi"/>
              </w:rPr>
            </w:pPr>
          </w:p>
        </w:tc>
        <w:tc>
          <w:tcPr>
            <w:tcW w:w="3148" w:type="dxa"/>
          </w:tcPr>
          <w:p w:rsidR="00E2680E" w:rsidRPr="004F62A3" w:rsidRDefault="00E2680E" w:rsidP="00CE0B29">
            <w:pPr>
              <w:spacing w:after="0" w:line="240" w:lineRule="auto"/>
              <w:rPr>
                <w:rFonts w:asciiTheme="minorHAnsi" w:hAnsiTheme="minorHAnsi" w:cstheme="minorHAnsi"/>
              </w:rPr>
            </w:pPr>
            <w:r w:rsidRPr="00E2680E">
              <w:rPr>
                <w:rFonts w:asciiTheme="minorHAnsi" w:hAnsiTheme="minorHAnsi" w:cstheme="minorHAnsi"/>
              </w:rPr>
              <w:t>ROZDZIAŁ 5. OCENA I WYBÓR PROJEKTÓW DO DOFINANSOWANIA W TRYBIE POZAKONKURSOWYM/5.</w:t>
            </w:r>
            <w:r>
              <w:rPr>
                <w:rFonts w:asciiTheme="minorHAnsi" w:hAnsiTheme="minorHAnsi" w:cstheme="minorHAnsi"/>
              </w:rPr>
              <w:t>3</w:t>
            </w:r>
            <w:r w:rsidRPr="00E2680E">
              <w:rPr>
                <w:rFonts w:asciiTheme="minorHAnsi" w:hAnsiTheme="minorHAnsi" w:cstheme="minorHAnsi"/>
              </w:rPr>
              <w:t xml:space="preserve">. ŹRÓDŁA FINANSOWANIA I KWOTA ŚRODKÓW PRZEZNACZONA NA DOFINANSOWANIE PROJEKTÓW W TRYBIE POZAKONKURSOWYM /pkt </w:t>
            </w:r>
            <w:r>
              <w:rPr>
                <w:rFonts w:asciiTheme="minorHAnsi" w:hAnsiTheme="minorHAnsi" w:cstheme="minorHAnsi"/>
              </w:rPr>
              <w:t>3</w:t>
            </w:r>
          </w:p>
        </w:tc>
        <w:tc>
          <w:tcPr>
            <w:tcW w:w="4365" w:type="dxa"/>
          </w:tcPr>
          <w:p w:rsidR="00E2680E" w:rsidRDefault="00E2680E" w:rsidP="007719E4">
            <w:pPr>
              <w:pStyle w:val="Default"/>
              <w:rPr>
                <w:rFonts w:asciiTheme="minorHAnsi" w:hAnsiTheme="minorHAnsi" w:cstheme="minorHAnsi"/>
                <w:color w:val="auto"/>
                <w:sz w:val="22"/>
                <w:szCs w:val="22"/>
              </w:rPr>
            </w:pPr>
            <w:r w:rsidRPr="00E2680E">
              <w:rPr>
                <w:rFonts w:asciiTheme="minorHAnsi" w:hAnsiTheme="minorHAnsi" w:cstheme="minorHAnsi"/>
                <w:color w:val="auto"/>
                <w:sz w:val="22"/>
                <w:szCs w:val="22"/>
              </w:rPr>
              <w:t xml:space="preserve">Zarząd Województwa Lubelskiego dokona wyboru projektów do dofinansowania w granicach środków dostępnych po ponownym przeliczeniu alokacji wg kursu EUR określonego w załączniku nr 4a do Kontraktu Terytorialnego, obwiązującego w miesiącu, w którym dokonywany będzie wybór projektów. W przypadku, gdy z uwagi na różnice kursowe, kwota dostępnej alokacji po kolejnych przeliczeniach może okazać się niewystarczająca na dofinasowanie projektu we wnioskowanej kwocie,  dla dofinansowania projektów wybranych do dofinansowania we wnioskowanych kwotach. Wnioskodawca zobowiązuje się wówczas pokryć powstałą różnicę kursową z własnych środków wówczas za zgodą wnioskodawcy projekt może być wybrany </w:t>
            </w:r>
            <w:r w:rsidRPr="00E2680E">
              <w:rPr>
                <w:rFonts w:asciiTheme="minorHAnsi" w:hAnsiTheme="minorHAnsi" w:cstheme="minorHAnsi"/>
                <w:color w:val="auto"/>
                <w:sz w:val="22"/>
                <w:szCs w:val="22"/>
              </w:rPr>
              <w:br/>
              <w:t>z uwzględnieniem obniżonego poziomu dofinansowania bez zmiany zakresu rzeczowego.</w:t>
            </w:r>
          </w:p>
        </w:tc>
        <w:tc>
          <w:tcPr>
            <w:tcW w:w="3856" w:type="dxa"/>
          </w:tcPr>
          <w:p w:rsidR="00E2680E" w:rsidRPr="00CD05A2" w:rsidRDefault="001D2005" w:rsidP="00CD05A2">
            <w:pPr>
              <w:autoSpaceDE w:val="0"/>
              <w:autoSpaceDN w:val="0"/>
              <w:adjustRightInd w:val="0"/>
              <w:spacing w:after="120" w:line="240" w:lineRule="auto"/>
              <w:rPr>
                <w:rFonts w:cs="Calibri"/>
                <w:bCs/>
              </w:rPr>
            </w:pPr>
            <w:r w:rsidRPr="001D2005">
              <w:rPr>
                <w:rFonts w:cs="Calibri"/>
                <w:bCs/>
              </w:rPr>
              <w:t>Zarząd Województwa Lubelskiego dokona wyboru projektów do dofinansowania w granicach środków dostępnych po ponownym przeliczeniu alokacji wg kursu EUR określonego w załączniku nr 4a do Kontraktu Terytorialnego, obwiązującego w miesiącu, w którym dokonywany będzie wybór projektów. W przypadku, gdy z uwagi na różnice kursowe, kwota dostępnej alokacji po kolejnych przeliczeniach może okazać się niewystarczająca na dofinasowanie projektu we wnioskowanej kwocie,  wówczas za zgodą wnioskodawcy projekt może być wybrany z uwzględnieniem obniżonego poziomu dofinansowania bez zmiany zakresu rzeczowego. Wnioskodawca zobowiązuje się wówczas pokryć powstałą różnicę kursową z własnych środków.</w:t>
            </w:r>
          </w:p>
        </w:tc>
        <w:tc>
          <w:tcPr>
            <w:tcW w:w="3232" w:type="dxa"/>
          </w:tcPr>
          <w:p w:rsidR="00E2680E" w:rsidRPr="00CD05A2" w:rsidRDefault="00E2680E" w:rsidP="009C04B9">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Poprawki edytorskie. </w:t>
            </w:r>
          </w:p>
        </w:tc>
      </w:tr>
      <w:tr w:rsidR="005072B1" w:rsidRPr="00D972AC" w:rsidTr="00652CEE">
        <w:trPr>
          <w:trHeight w:val="1531"/>
        </w:trPr>
        <w:tc>
          <w:tcPr>
            <w:tcW w:w="596" w:type="dxa"/>
          </w:tcPr>
          <w:p w:rsidR="00D90BA3" w:rsidRPr="003E1539" w:rsidRDefault="00ED4A42" w:rsidP="0045027D">
            <w:pPr>
              <w:pStyle w:val="Akapitzlist"/>
              <w:numPr>
                <w:ilvl w:val="0"/>
                <w:numId w:val="2"/>
              </w:numPr>
              <w:spacing w:after="0" w:line="240" w:lineRule="auto"/>
              <w:ind w:left="473"/>
              <w:rPr>
                <w:rFonts w:asciiTheme="minorHAnsi" w:hAnsiTheme="minorHAnsi" w:cstheme="minorHAnsi"/>
              </w:rPr>
            </w:pPr>
            <w:r w:rsidRPr="003E1539">
              <w:rPr>
                <w:rFonts w:asciiTheme="minorHAnsi" w:hAnsiTheme="minorHAnsi" w:cstheme="minorHAnsi"/>
              </w:rPr>
              <w:lastRenderedPageBreak/>
              <w:t>1.</w:t>
            </w:r>
          </w:p>
        </w:tc>
        <w:tc>
          <w:tcPr>
            <w:tcW w:w="3148" w:type="dxa"/>
          </w:tcPr>
          <w:p w:rsidR="00D90BA3" w:rsidRPr="003E1539" w:rsidRDefault="004F62A3" w:rsidP="00CE0B29">
            <w:pPr>
              <w:spacing w:after="0" w:line="240" w:lineRule="auto"/>
              <w:rPr>
                <w:rFonts w:asciiTheme="minorHAnsi" w:hAnsiTheme="minorHAnsi" w:cstheme="minorHAnsi"/>
              </w:rPr>
            </w:pPr>
            <w:bookmarkStart w:id="0" w:name="_Toc498335328"/>
            <w:r w:rsidRPr="004F62A3">
              <w:rPr>
                <w:rFonts w:asciiTheme="minorHAnsi" w:hAnsiTheme="minorHAnsi" w:cstheme="minorHAnsi"/>
              </w:rPr>
              <w:t>ROZDZIAŁ 5. OCENA I WYBÓR PROJEKTÓW DO DOFINANSOWANIA W TRYBIE POZAKONKURSOWYM</w:t>
            </w:r>
            <w:bookmarkEnd w:id="0"/>
            <w:r w:rsidRPr="004F62A3">
              <w:rPr>
                <w:rFonts w:asciiTheme="minorHAnsi" w:hAnsiTheme="minorHAnsi" w:cstheme="minorHAnsi"/>
              </w:rPr>
              <w:t>/</w:t>
            </w:r>
            <w:bookmarkStart w:id="1" w:name="_Toc493585085"/>
            <w:bookmarkStart w:id="2" w:name="_Toc498335336"/>
            <w:r w:rsidRPr="004F62A3">
              <w:rPr>
                <w:rFonts w:asciiTheme="minorHAnsi" w:hAnsiTheme="minorHAnsi" w:cstheme="minorHAnsi"/>
              </w:rPr>
              <w:t>5.8. KWALIFIKOWALNOŚĆ</w:t>
            </w:r>
            <w:bookmarkEnd w:id="1"/>
            <w:bookmarkEnd w:id="2"/>
            <w:r>
              <w:rPr>
                <w:rFonts w:asciiTheme="minorHAnsi" w:hAnsiTheme="minorHAnsi" w:cstheme="minorHAnsi"/>
              </w:rPr>
              <w:t>/pkt 15</w:t>
            </w:r>
          </w:p>
        </w:tc>
        <w:tc>
          <w:tcPr>
            <w:tcW w:w="4365" w:type="dxa"/>
          </w:tcPr>
          <w:p w:rsidR="00D90BA3" w:rsidRPr="00D972AC" w:rsidRDefault="004F62A3" w:rsidP="007719E4">
            <w:pPr>
              <w:pStyle w:val="Default"/>
              <w:rPr>
                <w:rFonts w:asciiTheme="minorHAnsi" w:hAnsiTheme="minorHAnsi" w:cstheme="minorHAnsi"/>
                <w:color w:val="auto"/>
                <w:sz w:val="22"/>
                <w:szCs w:val="22"/>
              </w:rPr>
            </w:pPr>
            <w:r>
              <w:rPr>
                <w:rFonts w:asciiTheme="minorHAnsi" w:hAnsiTheme="minorHAnsi" w:cstheme="minorHAnsi"/>
                <w:color w:val="auto"/>
                <w:sz w:val="22"/>
                <w:szCs w:val="22"/>
              </w:rPr>
              <w:t>-</w:t>
            </w:r>
          </w:p>
        </w:tc>
        <w:tc>
          <w:tcPr>
            <w:tcW w:w="3856" w:type="dxa"/>
          </w:tcPr>
          <w:p w:rsidR="004F5237" w:rsidRDefault="00CD05A2" w:rsidP="00CD05A2">
            <w:pPr>
              <w:autoSpaceDE w:val="0"/>
              <w:autoSpaceDN w:val="0"/>
              <w:adjustRightInd w:val="0"/>
              <w:spacing w:after="120" w:line="240" w:lineRule="auto"/>
              <w:rPr>
                <w:rFonts w:cs="Calibri"/>
                <w:bCs/>
              </w:rPr>
            </w:pPr>
            <w:r w:rsidRPr="00CD05A2">
              <w:rPr>
                <w:rFonts w:cs="Calibri"/>
                <w:bCs/>
              </w:rPr>
              <w:t xml:space="preserve">Beneficjent ma obowiązek udzielać zamówień w Projekcie oraz realizować te zamówienia zgodnie z przepisami prawa powszechnie obowiązującego oraz zgodnie z zasadami określonymi w Wytycznych kwalifikowalności. Beneficjent  zobowiązany  do  stosowania  zasady  konkurencyjności  ma  obowiązek  upubliczniania  zapytań ofertowych  na  stronie  internetowej  Bazy  Konkurencyjności  Funduszy  Europejskich  pod  adresem: </w:t>
            </w:r>
            <w:r w:rsidRPr="00CD05A2">
              <w:rPr>
                <w:rFonts w:cs="Calibri"/>
                <w:bCs/>
                <w:u w:val="single"/>
              </w:rPr>
              <w:t>www.bazakonkurencyjnosci.funduszeeuropejskie.gov.pl</w:t>
            </w:r>
            <w:r w:rsidRPr="00CD05A2">
              <w:rPr>
                <w:rFonts w:cs="Calibri"/>
                <w:bCs/>
              </w:rPr>
              <w:t xml:space="preserve">.  W przypadku zawieszenia działalności strony </w:t>
            </w:r>
            <w:r w:rsidRPr="00CD05A2">
              <w:rPr>
                <w:rFonts w:cs="Calibri"/>
                <w:bCs/>
                <w:u w:val="single"/>
              </w:rPr>
              <w:t>www.bazakonkurencyjnosci.funduszeeuropejskie.gov.pl</w:t>
            </w:r>
            <w:r w:rsidRPr="00CD05A2">
              <w:rPr>
                <w:rFonts w:cs="Calibri"/>
                <w:bCs/>
              </w:rPr>
              <w:t xml:space="preserve"> potwierdzonego odpowiednim komunikatem ministra właściwego do spraw rozwoju regionalnego  Beneficjent zobowiązany jest do publikowania zapytań ofertowych na stronie internetowej </w:t>
            </w:r>
            <w:hyperlink r:id="rId8" w:history="1">
              <w:r w:rsidRPr="00CD05A2">
                <w:rPr>
                  <w:rStyle w:val="Hipercze"/>
                  <w:rFonts w:cs="Calibri"/>
                </w:rPr>
                <w:t>www.zamowienia.rpo.lubelskie.pl</w:t>
              </w:r>
            </w:hyperlink>
            <w:r w:rsidRPr="00CD05A2">
              <w:rPr>
                <w:rFonts w:cs="Calibri"/>
                <w:bCs/>
              </w:rPr>
              <w:t xml:space="preserve">. W przypadku, gdy Beneficjent wszczął postępowanie o udzielenie zamówienia po ogłoszeniu konkursu, lecz przed zawarciem Umowy, zasada konkurencyjności może zostać uznana za spełnioną jedynie wówczas, gdy Beneficjent upublicznił zapytanie ofertowe na stronie internetowej </w:t>
            </w:r>
            <w:hyperlink r:id="rId9" w:history="1">
              <w:r w:rsidRPr="00CD05A2">
                <w:rPr>
                  <w:rStyle w:val="Hipercze"/>
                  <w:rFonts w:cs="Calibri"/>
                </w:rPr>
                <w:t>www.zamowienia.rpo.lubelskie.pl</w:t>
              </w:r>
            </w:hyperlink>
            <w:r w:rsidRPr="00CD05A2">
              <w:rPr>
                <w:rFonts w:cs="Calibri"/>
                <w:bCs/>
              </w:rPr>
              <w:t xml:space="preserve"> (począwszy od dnia następnego, po dniu </w:t>
            </w:r>
            <w:r w:rsidRPr="00CD05A2">
              <w:rPr>
                <w:rFonts w:cs="Calibri"/>
                <w:bCs/>
              </w:rPr>
              <w:lastRenderedPageBreak/>
              <w:t xml:space="preserve">upublicznienia informacji o jej uruchomieniu, tj. od dnia 16.09.2017 r.), a od dnia udostępnienia odpowiedniej funkcjonalności Bazy konkurencyjności, gdy upublicznił zapytanie ofertowe na stronie internetowej: </w:t>
            </w:r>
            <w:hyperlink r:id="rId10" w:history="1">
              <w:r w:rsidR="00756829" w:rsidRPr="00DA4841">
                <w:rPr>
                  <w:rStyle w:val="Hipercze"/>
                  <w:rFonts w:cs="Calibri"/>
                </w:rPr>
                <w:t>www.bazakonkurencyjności.funduszeeuropejskie.gov.pl</w:t>
              </w:r>
            </w:hyperlink>
            <w:r w:rsidRPr="00CD05A2">
              <w:rPr>
                <w:rFonts w:cs="Calibri"/>
                <w:bCs/>
              </w:rPr>
              <w:t>.</w:t>
            </w:r>
          </w:p>
          <w:p w:rsidR="00756829" w:rsidRDefault="00756829" w:rsidP="00CD05A2">
            <w:pPr>
              <w:autoSpaceDE w:val="0"/>
              <w:autoSpaceDN w:val="0"/>
              <w:adjustRightInd w:val="0"/>
              <w:spacing w:after="120" w:line="240" w:lineRule="auto"/>
              <w:rPr>
                <w:rFonts w:cs="Calibri"/>
                <w:bCs/>
              </w:rPr>
            </w:pPr>
          </w:p>
          <w:p w:rsidR="00756829" w:rsidRDefault="00756829" w:rsidP="00CD05A2">
            <w:pPr>
              <w:autoSpaceDE w:val="0"/>
              <w:autoSpaceDN w:val="0"/>
              <w:adjustRightInd w:val="0"/>
              <w:spacing w:after="120" w:line="240" w:lineRule="auto"/>
              <w:rPr>
                <w:rFonts w:cs="Calibri"/>
                <w:bCs/>
              </w:rPr>
            </w:pPr>
          </w:p>
          <w:p w:rsidR="00756829" w:rsidRPr="00CD05A2" w:rsidRDefault="00756829" w:rsidP="00CD05A2">
            <w:pPr>
              <w:autoSpaceDE w:val="0"/>
              <w:autoSpaceDN w:val="0"/>
              <w:adjustRightInd w:val="0"/>
              <w:spacing w:after="120" w:line="240" w:lineRule="auto"/>
              <w:rPr>
                <w:rFonts w:cs="Calibri"/>
                <w:bCs/>
              </w:rPr>
            </w:pPr>
            <w:r>
              <w:rPr>
                <w:rFonts w:asciiTheme="minorHAnsi" w:hAnsiTheme="minorHAnsi" w:cstheme="minorHAnsi"/>
              </w:rPr>
              <w:t>Równocześnie zmianie ulega numeracja pozostałych punktów.</w:t>
            </w:r>
          </w:p>
        </w:tc>
        <w:tc>
          <w:tcPr>
            <w:tcW w:w="3232" w:type="dxa"/>
          </w:tcPr>
          <w:p w:rsidR="00D90BA3" w:rsidRPr="00D972AC" w:rsidRDefault="00CD05A2" w:rsidP="009C04B9">
            <w:pPr>
              <w:autoSpaceDE w:val="0"/>
              <w:autoSpaceDN w:val="0"/>
              <w:adjustRightInd w:val="0"/>
              <w:spacing w:after="0" w:line="240" w:lineRule="auto"/>
              <w:rPr>
                <w:rFonts w:asciiTheme="minorHAnsi" w:hAnsiTheme="minorHAnsi" w:cstheme="minorHAnsi"/>
              </w:rPr>
            </w:pPr>
            <w:r w:rsidRPr="00CD05A2">
              <w:rPr>
                <w:rFonts w:asciiTheme="minorHAnsi" w:hAnsiTheme="minorHAnsi" w:cstheme="minorHAnsi"/>
              </w:rPr>
              <w:lastRenderedPageBreak/>
              <w:t xml:space="preserve">Doprecyzowanie zapisów, z uwagi na likwidację wytycznych programowych na mocy znowelizowanej ustawy o zasadach realizacji programów w zakresie polityki spójności finansowanych w perspektywie finansowej 2014-2020.   </w:t>
            </w:r>
          </w:p>
        </w:tc>
      </w:tr>
      <w:tr w:rsidR="001365FE" w:rsidRPr="00D972AC" w:rsidTr="00652CEE">
        <w:trPr>
          <w:trHeight w:val="1133"/>
        </w:trPr>
        <w:tc>
          <w:tcPr>
            <w:tcW w:w="596" w:type="dxa"/>
          </w:tcPr>
          <w:p w:rsidR="001365FE" w:rsidRPr="003E1539" w:rsidRDefault="001365FE" w:rsidP="004F62A3">
            <w:pPr>
              <w:pStyle w:val="Akapitzlist"/>
              <w:numPr>
                <w:ilvl w:val="0"/>
                <w:numId w:val="2"/>
              </w:numPr>
              <w:spacing w:after="0" w:line="240" w:lineRule="auto"/>
              <w:ind w:left="473"/>
              <w:rPr>
                <w:rFonts w:asciiTheme="minorHAnsi" w:hAnsiTheme="minorHAnsi" w:cstheme="minorHAnsi"/>
              </w:rPr>
            </w:pPr>
          </w:p>
        </w:tc>
        <w:tc>
          <w:tcPr>
            <w:tcW w:w="3148" w:type="dxa"/>
          </w:tcPr>
          <w:p w:rsidR="001365FE" w:rsidRPr="006E6E26" w:rsidRDefault="001365FE" w:rsidP="004F62A3">
            <w:pPr>
              <w:spacing w:after="0" w:line="240" w:lineRule="auto"/>
              <w:rPr>
                <w:rFonts w:asciiTheme="minorHAnsi" w:hAnsiTheme="minorHAnsi" w:cstheme="minorHAnsi"/>
              </w:rPr>
            </w:pPr>
            <w:r w:rsidRPr="001365FE">
              <w:rPr>
                <w:rFonts w:asciiTheme="minorHAnsi" w:hAnsiTheme="minorHAnsi" w:cstheme="minorHAnsi"/>
              </w:rPr>
              <w:t xml:space="preserve">ROZDZIAŁ 5. OCENA I WYBÓR PROJEKTÓW DO DOFINANSOWANIA W TRYBIE POZAKONKURSOWYM/5.8. KWALIFIKOWALNOŚĆ/pkt </w:t>
            </w:r>
            <w:r>
              <w:rPr>
                <w:rFonts w:asciiTheme="minorHAnsi" w:hAnsiTheme="minorHAnsi" w:cstheme="minorHAnsi"/>
              </w:rPr>
              <w:t>16</w:t>
            </w:r>
          </w:p>
        </w:tc>
        <w:tc>
          <w:tcPr>
            <w:tcW w:w="4365" w:type="dxa"/>
          </w:tcPr>
          <w:p w:rsidR="001365FE" w:rsidRPr="006E6E26" w:rsidRDefault="001365FE" w:rsidP="004F62A3">
            <w:pPr>
              <w:pStyle w:val="Default"/>
              <w:rPr>
                <w:rFonts w:asciiTheme="minorHAnsi" w:hAnsiTheme="minorHAnsi" w:cstheme="minorHAnsi"/>
              </w:rPr>
            </w:pPr>
            <w:r>
              <w:rPr>
                <w:rFonts w:asciiTheme="minorHAnsi" w:hAnsiTheme="minorHAnsi" w:cstheme="minorHAnsi"/>
              </w:rPr>
              <w:t>-</w:t>
            </w:r>
          </w:p>
        </w:tc>
        <w:tc>
          <w:tcPr>
            <w:tcW w:w="3856" w:type="dxa"/>
          </w:tcPr>
          <w:p w:rsidR="001365FE" w:rsidRPr="001365FE" w:rsidRDefault="001365FE" w:rsidP="001365FE">
            <w:pPr>
              <w:autoSpaceDE w:val="0"/>
              <w:autoSpaceDN w:val="0"/>
              <w:adjustRightInd w:val="0"/>
              <w:spacing w:after="120" w:line="240" w:lineRule="auto"/>
              <w:rPr>
                <w:rFonts w:asciiTheme="minorHAnsi" w:hAnsiTheme="minorHAnsi" w:cstheme="minorHAnsi"/>
                <w:bCs/>
              </w:rPr>
            </w:pPr>
            <w:r w:rsidRPr="001365FE">
              <w:rPr>
                <w:rFonts w:asciiTheme="minorHAnsi" w:hAnsiTheme="minorHAnsi" w:cstheme="minorHAnsi"/>
                <w:bCs/>
              </w:rPr>
              <w:t xml:space="preserve">W przypadku, gdy realizowane przez Wnioskodawcę przedsięwzięcie będzie składało się z kilku etapów realizowanych w ramach jednego projektu, a jeden z etapów, nie stanowiący samodzielnej części projektu, zostanie zakończony przed dniem złożenia wniosku o dofinansowanie, to co do zasady, przedsięwzięcie takie w całości będzie mogło uzyskać dofinansowanie w ramach RPO WL (z zastrzeżeniem odmiennych zasad dotyczących efektu zachęty przy projektach objętych pomocą publiczną). Należy w tym przypadku mieć jednak na uwadze, że cały projekt nie może zostać fizycznie ukończony lub w pełni zrealizowany przed przedłożeniem IZ RPO WL </w:t>
            </w:r>
            <w:r w:rsidRPr="001365FE">
              <w:rPr>
                <w:rFonts w:asciiTheme="minorHAnsi" w:hAnsiTheme="minorHAnsi" w:cstheme="minorHAnsi"/>
                <w:bCs/>
              </w:rPr>
              <w:lastRenderedPageBreak/>
              <w:t>wniosku o dofinansowanie, niezależnie od tego, czy wszystkie dotyczące tego projektu płatności zostaną przez beneficjenta dokonane.</w:t>
            </w:r>
          </w:p>
          <w:p w:rsidR="001365FE" w:rsidRDefault="001365FE" w:rsidP="001365FE">
            <w:pPr>
              <w:autoSpaceDE w:val="0"/>
              <w:autoSpaceDN w:val="0"/>
              <w:adjustRightInd w:val="0"/>
              <w:spacing w:after="120" w:line="240" w:lineRule="auto"/>
              <w:ind w:left="33"/>
              <w:rPr>
                <w:rFonts w:asciiTheme="minorHAnsi" w:hAnsiTheme="minorHAnsi" w:cstheme="minorHAnsi"/>
              </w:rPr>
            </w:pPr>
            <w:r w:rsidRPr="001365FE">
              <w:rPr>
                <w:rFonts w:asciiTheme="minorHAnsi" w:hAnsiTheme="minorHAnsi" w:cstheme="minorHAnsi"/>
                <w:bCs/>
              </w:rPr>
              <w:t xml:space="preserve">W przypadku, gdy inwestycja realizowana jest etapami i jeden lub więcej etapów, stanowiący odrębną i samodzielną część projektu (możliwy do wyodrębnienia zakres rzeczowy i finansowy oraz odrębność funkcjonalna produktów), zgłoszony do objęcia wsparciem, zostanie ukończony, tj. przed złożeniem wniosku o dofinansowanie nastąpi odbiór robót budowlanych, dostaw lub usług, to co do zasady, ta część inwestycji nie będzie mogła uzyskać dofinansowania w ramach RPO WL. Fakt zakończenia przed złożeniem wniosku o dofinansowanie jednego z etapów projektu (zgłoszonego do dofinansowania jako część szerszego przedsięwzięcia) nie dyskwalifikuje więc pozostałej części projektu z możliwości uzyskania wsparcia w ramach RPO WL. Do dofinansowania będzie mógł zostać przedłożony projekt w części obejmującej etapy inwestycji jeszcze nie zakończone w świetle art. 65 ust. 6 Rozporządzenia ogólnego 1303/2013, natomiast wydatki poniesione w związku z zakończonym etapem </w:t>
            </w:r>
            <w:r w:rsidRPr="001365FE">
              <w:rPr>
                <w:rFonts w:asciiTheme="minorHAnsi" w:hAnsiTheme="minorHAnsi" w:cstheme="minorHAnsi"/>
                <w:bCs/>
              </w:rPr>
              <w:lastRenderedPageBreak/>
              <w:t>inwestycji będą stanowić część niekwalifikowaną projektu.</w:t>
            </w:r>
          </w:p>
        </w:tc>
        <w:tc>
          <w:tcPr>
            <w:tcW w:w="3232" w:type="dxa"/>
          </w:tcPr>
          <w:p w:rsidR="001365FE" w:rsidRDefault="001365FE"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 xml:space="preserve">Doprecyzowanie zapisów w odniesieniu do inwestycji zakończonych. </w:t>
            </w:r>
          </w:p>
        </w:tc>
      </w:tr>
      <w:tr w:rsidR="004F62A3" w:rsidRPr="00D972AC" w:rsidTr="00652CEE">
        <w:trPr>
          <w:trHeight w:val="1133"/>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3E1539" w:rsidRDefault="004F62A3" w:rsidP="004F62A3">
            <w:pPr>
              <w:spacing w:after="0" w:line="240" w:lineRule="auto"/>
              <w:rPr>
                <w:rFonts w:asciiTheme="minorHAnsi" w:hAnsiTheme="minorHAnsi" w:cstheme="minorHAnsi"/>
              </w:rPr>
            </w:pPr>
            <w:bookmarkStart w:id="3" w:name="_Toc498335338"/>
            <w:r w:rsidRPr="006E6E26">
              <w:rPr>
                <w:rFonts w:asciiTheme="minorHAnsi" w:hAnsiTheme="minorHAnsi" w:cstheme="minorHAnsi"/>
              </w:rPr>
              <w:t>ROZDZIAŁ 6 SZCZEGÓŁOWE PROCEDURY OCENY PROJEKTÓW POZAKONKURSOWYCH</w:t>
            </w:r>
            <w:bookmarkEnd w:id="3"/>
            <w:r>
              <w:rPr>
                <w:rFonts w:asciiTheme="minorHAnsi" w:hAnsiTheme="minorHAnsi" w:cstheme="minorHAnsi"/>
              </w:rPr>
              <w:t>/</w:t>
            </w:r>
            <w:bookmarkStart w:id="4" w:name="_Toc493585088"/>
            <w:bookmarkStart w:id="5" w:name="_Toc498335340"/>
            <w:r w:rsidRPr="006E6E26">
              <w:rPr>
                <w:rFonts w:asciiTheme="minorHAnsi" w:hAnsiTheme="minorHAnsi" w:cstheme="minorHAnsi"/>
              </w:rPr>
              <w:t>6.2 WERYFIKACJA WARUNKÓW FORMALNYCH ORAZ OCZYWISTYCH OMYŁEK</w:t>
            </w:r>
            <w:bookmarkEnd w:id="4"/>
            <w:bookmarkEnd w:id="5"/>
            <w:r>
              <w:rPr>
                <w:rFonts w:asciiTheme="minorHAnsi" w:hAnsiTheme="minorHAnsi" w:cstheme="minorHAnsi"/>
              </w:rPr>
              <w:t>/pkt 7</w:t>
            </w:r>
          </w:p>
        </w:tc>
        <w:tc>
          <w:tcPr>
            <w:tcW w:w="4365" w:type="dxa"/>
          </w:tcPr>
          <w:p w:rsidR="004F62A3" w:rsidRPr="006E6E26" w:rsidRDefault="004F62A3" w:rsidP="004F62A3">
            <w:pPr>
              <w:pStyle w:val="Default"/>
              <w:rPr>
                <w:rFonts w:asciiTheme="minorHAnsi" w:hAnsiTheme="minorHAnsi" w:cstheme="minorHAnsi"/>
              </w:rPr>
            </w:pPr>
            <w:r w:rsidRPr="006E6E26">
              <w:rPr>
                <w:rFonts w:asciiTheme="minorHAnsi" w:hAnsiTheme="minorHAnsi" w:cstheme="minorHAnsi"/>
              </w:rPr>
              <w:t>Uzupełnienie wniosku o dofinansowanie lub poprawienie w nim oczywistej omyłki nie może prowadzić do jego istotnej modyfikacji. IZ RPO dokona oceny, czy uzupełnienie wniosku lub poprawienie w nim oczywistej omyłki  doprowadziło do jego istotnej modyfikacji. Przy ocenie czy wystąpiła istotna modyfikacja wniosku,  IZ RPO bierze pod uwagę zakres modyfikacji pierwotnie złożonego wniosku o dofinansowanie w następstwie dokonanych uzupełnień i poprawek.</w:t>
            </w:r>
          </w:p>
          <w:p w:rsidR="004F62A3" w:rsidRPr="00D972AC" w:rsidRDefault="004F62A3" w:rsidP="004F62A3">
            <w:pPr>
              <w:pStyle w:val="Default"/>
              <w:rPr>
                <w:rFonts w:asciiTheme="minorHAnsi" w:hAnsiTheme="minorHAnsi" w:cstheme="minorHAnsi"/>
                <w:color w:val="auto"/>
                <w:sz w:val="22"/>
                <w:szCs w:val="22"/>
              </w:rPr>
            </w:pPr>
          </w:p>
        </w:tc>
        <w:tc>
          <w:tcPr>
            <w:tcW w:w="3856" w:type="dxa"/>
          </w:tcPr>
          <w:p w:rsidR="004F62A3" w:rsidRDefault="004F62A3" w:rsidP="004F62A3">
            <w:pPr>
              <w:autoSpaceDE w:val="0"/>
              <w:autoSpaceDN w:val="0"/>
              <w:adjustRightInd w:val="0"/>
              <w:spacing w:after="120" w:line="240" w:lineRule="auto"/>
              <w:ind w:left="33"/>
              <w:rPr>
                <w:rFonts w:asciiTheme="minorHAnsi" w:hAnsiTheme="minorHAnsi" w:cstheme="minorHAnsi"/>
              </w:rPr>
            </w:pPr>
            <w:r>
              <w:rPr>
                <w:rFonts w:asciiTheme="minorHAnsi" w:hAnsiTheme="minorHAnsi" w:cstheme="minorHAnsi"/>
              </w:rPr>
              <w:t>-</w:t>
            </w:r>
          </w:p>
          <w:p w:rsidR="004F62A3" w:rsidRDefault="004F62A3" w:rsidP="004F62A3">
            <w:pPr>
              <w:autoSpaceDE w:val="0"/>
              <w:autoSpaceDN w:val="0"/>
              <w:adjustRightInd w:val="0"/>
              <w:spacing w:after="120" w:line="240" w:lineRule="auto"/>
              <w:ind w:left="33"/>
              <w:rPr>
                <w:rFonts w:asciiTheme="minorHAnsi" w:hAnsiTheme="minorHAnsi" w:cstheme="minorHAnsi"/>
              </w:rPr>
            </w:pPr>
          </w:p>
          <w:p w:rsidR="004F62A3" w:rsidRPr="00D972AC" w:rsidRDefault="004F62A3" w:rsidP="004F62A3">
            <w:pPr>
              <w:autoSpaceDE w:val="0"/>
              <w:autoSpaceDN w:val="0"/>
              <w:adjustRightInd w:val="0"/>
              <w:spacing w:after="120" w:line="240" w:lineRule="auto"/>
              <w:ind w:left="33"/>
              <w:rPr>
                <w:rFonts w:asciiTheme="minorHAnsi" w:hAnsiTheme="minorHAnsi" w:cstheme="minorHAnsi"/>
              </w:rPr>
            </w:pPr>
            <w:r>
              <w:rPr>
                <w:rFonts w:asciiTheme="minorHAnsi" w:hAnsiTheme="minorHAnsi" w:cstheme="minorHAnsi"/>
              </w:rPr>
              <w:t xml:space="preserve">Równocześnie zmianie ulega numeracja pozostałych punktów. </w:t>
            </w:r>
          </w:p>
        </w:tc>
        <w:tc>
          <w:tcPr>
            <w:tcW w:w="3232" w:type="dxa"/>
          </w:tcPr>
          <w:p w:rsidR="004F62A3" w:rsidRPr="00D972AC"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F62A3" w:rsidRPr="00D972AC" w:rsidTr="00652CEE">
        <w:trPr>
          <w:trHeight w:val="1133"/>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3E1539" w:rsidRDefault="004F62A3" w:rsidP="004F62A3">
            <w:pPr>
              <w:spacing w:after="0" w:line="240" w:lineRule="auto"/>
              <w:rPr>
                <w:rFonts w:asciiTheme="minorHAnsi" w:hAnsiTheme="minorHAnsi" w:cstheme="minorHAnsi"/>
                <w:bCs/>
                <w:lang w:val="x-none"/>
              </w:rPr>
            </w:pPr>
            <w:r w:rsidRPr="008054F4">
              <w:rPr>
                <w:rFonts w:asciiTheme="minorHAnsi" w:hAnsiTheme="minorHAnsi" w:cstheme="minorHAnsi"/>
                <w:bCs/>
              </w:rPr>
              <w:t>ROZDZIAŁ 6 SZCZEGÓŁOWE PROCEDURY OCENY PROJEKTÓW POZAKONKURSOWYCH/6.2 WERYFIKACJA WARUNKÓW FORMALNYCH ORAZ OCZYWISTYCH OMYŁEK/</w:t>
            </w:r>
            <w:r>
              <w:rPr>
                <w:rFonts w:asciiTheme="minorHAnsi" w:hAnsiTheme="minorHAnsi" w:cstheme="minorHAnsi"/>
                <w:bCs/>
              </w:rPr>
              <w:t>pkt 7</w:t>
            </w:r>
          </w:p>
        </w:tc>
        <w:tc>
          <w:tcPr>
            <w:tcW w:w="4365" w:type="dxa"/>
          </w:tcPr>
          <w:p w:rsidR="004F62A3" w:rsidRPr="001F3553" w:rsidRDefault="004F62A3" w:rsidP="004F62A3">
            <w:pPr>
              <w:pStyle w:val="Default"/>
              <w:rPr>
                <w:rFonts w:asciiTheme="minorHAnsi" w:hAnsiTheme="minorHAnsi" w:cstheme="minorHAnsi"/>
                <w:color w:val="auto"/>
                <w:sz w:val="22"/>
                <w:szCs w:val="22"/>
              </w:rPr>
            </w:pPr>
            <w:r w:rsidRPr="008054F4">
              <w:rPr>
                <w:rFonts w:asciiTheme="minorHAnsi" w:hAnsiTheme="minorHAnsi" w:cstheme="minorHAnsi"/>
                <w:color w:val="auto"/>
                <w:sz w:val="22"/>
                <w:szCs w:val="22"/>
              </w:rPr>
              <w:t xml:space="preserve">Jeżeli wnioskodawca nie spełni warunku formalnego, o którym mowa w pkt 3a, nie dokona uzupełnienia wszystkich braków formalnych/poprawy wszystkich omyłek w terminie lub w zakresie określonym w wezwaniu, dokona zmian we wniosku lub w załącznikach poza zakresem określonym w wezwaniu </w:t>
            </w:r>
            <w:r w:rsidRPr="008054F4">
              <w:rPr>
                <w:rFonts w:asciiTheme="minorHAnsi" w:hAnsiTheme="minorHAnsi" w:cstheme="minorHAnsi"/>
                <w:b/>
                <w:color w:val="auto"/>
                <w:sz w:val="22"/>
                <w:szCs w:val="22"/>
              </w:rPr>
              <w:t>lub dokonując uzupełniania braków/poprawy omyłek dokona istotnej modyfikacji wniosku</w:t>
            </w:r>
            <w:r w:rsidRPr="008054F4">
              <w:rPr>
                <w:rFonts w:asciiTheme="minorHAnsi" w:hAnsiTheme="minorHAnsi" w:cstheme="minorHAnsi"/>
                <w:color w:val="auto"/>
                <w:sz w:val="22"/>
                <w:szCs w:val="22"/>
              </w:rPr>
              <w:t xml:space="preserve">, wniosek zostaje pozostawiony bez rozpatrzenia i nie podlega ocenie. Wnioskodawca otrzyma wówczas od  IZ RPO informację o pozostawieniu wniosku bez rozpatrzenia wraz z uzasadnieniem. </w:t>
            </w:r>
            <w:r w:rsidRPr="008054F4">
              <w:rPr>
                <w:rFonts w:asciiTheme="minorHAnsi" w:hAnsiTheme="minorHAnsi" w:cstheme="minorHAnsi"/>
                <w:color w:val="auto"/>
                <w:sz w:val="22"/>
                <w:szCs w:val="22"/>
              </w:rPr>
              <w:lastRenderedPageBreak/>
              <w:t>Pozostawienie wniosku bez rozpatrzenia skutkuje usunięciem projektu z WZPP.</w:t>
            </w:r>
          </w:p>
        </w:tc>
        <w:tc>
          <w:tcPr>
            <w:tcW w:w="3856" w:type="dxa"/>
          </w:tcPr>
          <w:p w:rsidR="004F62A3" w:rsidRPr="001F3553" w:rsidRDefault="004F62A3" w:rsidP="004F62A3">
            <w:pPr>
              <w:autoSpaceDE w:val="0"/>
              <w:autoSpaceDN w:val="0"/>
              <w:adjustRightInd w:val="0"/>
              <w:spacing w:after="120" w:line="240" w:lineRule="auto"/>
              <w:ind w:left="33"/>
              <w:rPr>
                <w:rFonts w:asciiTheme="minorHAnsi" w:hAnsiTheme="minorHAnsi" w:cstheme="minorHAnsi"/>
              </w:rPr>
            </w:pPr>
            <w:r w:rsidRPr="008054F4">
              <w:rPr>
                <w:rFonts w:asciiTheme="minorHAnsi" w:hAnsiTheme="minorHAnsi" w:cstheme="minorHAnsi"/>
              </w:rPr>
              <w:lastRenderedPageBreak/>
              <w:t xml:space="preserve">Jeżeli wnioskodawca nie spełni warunku formalnego, o którym mowa w pkt 3a, nie dokona uzupełnienia wszystkich braków formalnych/poprawy wszystkich omyłek w terminie lub </w:t>
            </w:r>
            <w:r w:rsidRPr="008054F4">
              <w:rPr>
                <w:rFonts w:asciiTheme="minorHAnsi" w:hAnsiTheme="minorHAnsi" w:cstheme="minorHAnsi"/>
              </w:rPr>
              <w:br/>
              <w:t xml:space="preserve">w zakresie określonym w wezwaniu, dokona zmian we wniosku lub w załącznikach poza zakresem określonym w wezwaniu, wniosek zostaje pozostawiony bez rozpatrzenia i nie podlega ocenie. Wnioskodawca otrzyma wówczas od  IZ RPO informację o pozostawieniu wniosku bez rozpatrzenia wraz z uzasadnieniem. Pozostawienie wniosku bez </w:t>
            </w:r>
            <w:r w:rsidRPr="008054F4">
              <w:rPr>
                <w:rFonts w:asciiTheme="minorHAnsi" w:hAnsiTheme="minorHAnsi" w:cstheme="minorHAnsi"/>
              </w:rPr>
              <w:lastRenderedPageBreak/>
              <w:t>rozpatrzenia skutkuje usunięciem projektu z WZPP.</w:t>
            </w:r>
          </w:p>
        </w:tc>
        <w:tc>
          <w:tcPr>
            <w:tcW w:w="3232" w:type="dxa"/>
          </w:tcPr>
          <w:p w:rsidR="004F62A3" w:rsidRPr="001F355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756829" w:rsidRPr="00D972AC" w:rsidTr="00652CEE">
        <w:trPr>
          <w:trHeight w:val="1531"/>
        </w:trPr>
        <w:tc>
          <w:tcPr>
            <w:tcW w:w="596" w:type="dxa"/>
          </w:tcPr>
          <w:p w:rsidR="00756829" w:rsidRPr="003E1539" w:rsidRDefault="00756829" w:rsidP="004F62A3">
            <w:pPr>
              <w:pStyle w:val="Akapitzlist"/>
              <w:numPr>
                <w:ilvl w:val="0"/>
                <w:numId w:val="2"/>
              </w:numPr>
              <w:spacing w:after="0" w:line="240" w:lineRule="auto"/>
              <w:ind w:left="473"/>
              <w:rPr>
                <w:rFonts w:asciiTheme="minorHAnsi" w:hAnsiTheme="minorHAnsi" w:cstheme="minorHAnsi"/>
              </w:rPr>
            </w:pPr>
          </w:p>
        </w:tc>
        <w:tc>
          <w:tcPr>
            <w:tcW w:w="3148" w:type="dxa"/>
          </w:tcPr>
          <w:p w:rsidR="00756829" w:rsidRPr="007F628F" w:rsidRDefault="00756829" w:rsidP="004F62A3">
            <w:pPr>
              <w:spacing w:after="0" w:line="240" w:lineRule="auto"/>
              <w:rPr>
                <w:rFonts w:asciiTheme="minorHAnsi" w:hAnsiTheme="minorHAnsi" w:cstheme="minorHAnsi"/>
                <w:bCs/>
              </w:rPr>
            </w:pPr>
            <w:r w:rsidRPr="007F628F">
              <w:rPr>
                <w:rFonts w:asciiTheme="minorHAnsi" w:hAnsiTheme="minorHAnsi" w:cstheme="minorHAnsi"/>
                <w:bCs/>
              </w:rPr>
              <w:t>ROZDZIAŁ 6 SZCZEGÓŁOWE PROCEDURY OCENY PROJEKTÓW POZAKONKURSOWYCH/6.</w:t>
            </w:r>
            <w:r>
              <w:rPr>
                <w:rFonts w:asciiTheme="minorHAnsi" w:hAnsiTheme="minorHAnsi" w:cstheme="minorHAnsi"/>
                <w:bCs/>
              </w:rPr>
              <w:t xml:space="preserve">3 </w:t>
            </w:r>
            <w:r w:rsidRPr="005B69B4">
              <w:rPr>
                <w:rFonts w:cs="Calibri"/>
                <w:lang w:eastAsia="pl-PL"/>
              </w:rPr>
              <w:t>OCENA FORMALNA</w:t>
            </w:r>
            <w:r>
              <w:rPr>
                <w:rFonts w:cs="Calibri"/>
                <w:lang w:eastAsia="pl-PL"/>
              </w:rPr>
              <w:t>/pkt 6</w:t>
            </w:r>
          </w:p>
        </w:tc>
        <w:tc>
          <w:tcPr>
            <w:tcW w:w="4365" w:type="dxa"/>
          </w:tcPr>
          <w:p w:rsidR="00756829" w:rsidRPr="007F628F" w:rsidRDefault="00756829" w:rsidP="004F62A3">
            <w:pPr>
              <w:pStyle w:val="Default"/>
              <w:rPr>
                <w:rFonts w:asciiTheme="minorHAnsi" w:hAnsiTheme="minorHAnsi" w:cstheme="minorHAnsi"/>
                <w:color w:val="auto"/>
                <w:sz w:val="22"/>
                <w:szCs w:val="22"/>
              </w:rPr>
            </w:pPr>
            <w:r w:rsidRPr="00756829">
              <w:rPr>
                <w:rFonts w:asciiTheme="minorHAnsi" w:hAnsiTheme="minorHAnsi" w:cstheme="minorHAnsi"/>
                <w:color w:val="auto"/>
                <w:sz w:val="22"/>
                <w:szCs w:val="22"/>
              </w:rPr>
              <w:t>W odniesieniu do kryteriów formalnych specyficznych IZ RPO może</w:t>
            </w:r>
            <w:r w:rsidRPr="00756829">
              <w:rPr>
                <w:rFonts w:asciiTheme="minorHAnsi" w:hAnsiTheme="minorHAnsi" w:cstheme="minorHAnsi"/>
                <w:color w:val="auto"/>
                <w:sz w:val="22"/>
                <w:szCs w:val="22"/>
              </w:rPr>
              <w:br/>
              <w:t>wezwać wnioskodawcę za pośrednictwem LSI2014 do złożenia wyjaśnień dot. informacji zawartych we wniosku.</w:t>
            </w:r>
          </w:p>
        </w:tc>
        <w:tc>
          <w:tcPr>
            <w:tcW w:w="3856" w:type="dxa"/>
          </w:tcPr>
          <w:p w:rsidR="00756829" w:rsidRPr="00A90519" w:rsidRDefault="00756829" w:rsidP="00756829">
            <w:pPr>
              <w:autoSpaceDE w:val="0"/>
              <w:autoSpaceDN w:val="0"/>
              <w:adjustRightInd w:val="0"/>
              <w:spacing w:after="120" w:line="240" w:lineRule="auto"/>
              <w:jc w:val="both"/>
              <w:rPr>
                <w:rFonts w:asciiTheme="minorHAnsi" w:hAnsiTheme="minorHAnsi" w:cstheme="minorHAnsi"/>
                <w:b/>
                <w:lang w:val="x-none"/>
              </w:rPr>
            </w:pPr>
            <w:r w:rsidRPr="00756829">
              <w:rPr>
                <w:rFonts w:asciiTheme="minorHAnsi" w:hAnsiTheme="minorHAnsi" w:cstheme="minorHAnsi"/>
              </w:rPr>
              <w:t>W odniesieniu do kryteriów formalnych specyficznych IZ RPO może</w:t>
            </w:r>
            <w:r w:rsidRPr="00756829">
              <w:rPr>
                <w:rFonts w:asciiTheme="minorHAnsi" w:hAnsiTheme="minorHAnsi" w:cstheme="minorHAnsi"/>
              </w:rPr>
              <w:br/>
              <w:t xml:space="preserve">wezwać wnioskodawcę za pośrednictwem LSI2014 do złożenia wyjaśnień dot. informacji zawartych we wniosku, </w:t>
            </w:r>
            <w:r w:rsidRPr="00A90519">
              <w:rPr>
                <w:rFonts w:asciiTheme="minorHAnsi" w:hAnsiTheme="minorHAnsi" w:cstheme="minorHAnsi"/>
                <w:b/>
                <w:lang w:val="x-none"/>
              </w:rPr>
              <w:t>przy czym zakres uzupełnienia/poprawy wniosku w odniesieniu do danego kryterium, wskazywany jest przez I</w:t>
            </w:r>
            <w:r w:rsidRPr="00A90519">
              <w:rPr>
                <w:rFonts w:asciiTheme="minorHAnsi" w:hAnsiTheme="minorHAnsi" w:cstheme="minorHAnsi"/>
                <w:b/>
              </w:rPr>
              <w:t>Z</w:t>
            </w:r>
            <w:r w:rsidRPr="00A90519">
              <w:rPr>
                <w:rFonts w:asciiTheme="minorHAnsi" w:hAnsiTheme="minorHAnsi" w:cstheme="minorHAnsi"/>
                <w:b/>
                <w:lang w:val="x-none"/>
              </w:rPr>
              <w:t xml:space="preserve"> </w:t>
            </w:r>
            <w:r w:rsidRPr="00A90519">
              <w:rPr>
                <w:rFonts w:asciiTheme="minorHAnsi" w:hAnsiTheme="minorHAnsi" w:cstheme="minorHAnsi"/>
                <w:b/>
              </w:rPr>
              <w:t xml:space="preserve">RPO </w:t>
            </w:r>
            <w:r w:rsidRPr="00A90519">
              <w:rPr>
                <w:rFonts w:asciiTheme="minorHAnsi" w:hAnsiTheme="minorHAnsi" w:cstheme="minorHAnsi"/>
                <w:b/>
                <w:lang w:val="x-none"/>
              </w:rPr>
              <w:t xml:space="preserve">w wezwaniu i dotyczy: </w:t>
            </w:r>
          </w:p>
          <w:p w:rsidR="00756829" w:rsidRPr="00A90519" w:rsidRDefault="00756829" w:rsidP="00756829">
            <w:pPr>
              <w:numPr>
                <w:ilvl w:val="0"/>
                <w:numId w:val="20"/>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t>uzasadnienia spełnienia kryterium we wniosku  o dofinansowanie projektu,</w:t>
            </w:r>
          </w:p>
          <w:p w:rsidR="00756829" w:rsidRPr="00A90519" w:rsidRDefault="00756829" w:rsidP="00756829">
            <w:pPr>
              <w:numPr>
                <w:ilvl w:val="0"/>
                <w:numId w:val="20"/>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t>informacji we wniosku odnoszących się do definicji danego kryterium,</w:t>
            </w:r>
          </w:p>
          <w:p w:rsidR="00756829" w:rsidRPr="00A90519" w:rsidRDefault="00756829" w:rsidP="00756829">
            <w:pPr>
              <w:numPr>
                <w:ilvl w:val="0"/>
                <w:numId w:val="20"/>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t>informacji we wniosku odnoszących się do uzasadnienia kryteriów,</w:t>
            </w:r>
          </w:p>
          <w:p w:rsidR="00756829" w:rsidRPr="00756829" w:rsidRDefault="00756829" w:rsidP="00756829">
            <w:pPr>
              <w:numPr>
                <w:ilvl w:val="0"/>
                <w:numId w:val="20"/>
              </w:numPr>
              <w:autoSpaceDE w:val="0"/>
              <w:autoSpaceDN w:val="0"/>
              <w:adjustRightInd w:val="0"/>
              <w:spacing w:after="0" w:line="240" w:lineRule="auto"/>
              <w:jc w:val="both"/>
              <w:rPr>
                <w:rFonts w:asciiTheme="minorHAnsi" w:hAnsiTheme="minorHAnsi" w:cstheme="minorHAnsi"/>
              </w:rPr>
            </w:pPr>
            <w:r w:rsidRPr="00A90519">
              <w:rPr>
                <w:rFonts w:asciiTheme="minorHAnsi" w:hAnsiTheme="minorHAnsi" w:cstheme="minorHAnsi"/>
                <w:b/>
              </w:rPr>
              <w:t>informacji dotyczącej typów projektów, do których zastosowanie ma dane kryterium.</w:t>
            </w:r>
          </w:p>
        </w:tc>
        <w:tc>
          <w:tcPr>
            <w:tcW w:w="3232" w:type="dxa"/>
          </w:tcPr>
          <w:p w:rsidR="00756829" w:rsidRDefault="00756829"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Dostosowanie zapisów do art. 45, ust. 3 ustawy </w:t>
            </w:r>
            <w:r w:rsidRPr="00756829">
              <w:rPr>
                <w:rFonts w:asciiTheme="minorHAnsi" w:hAnsiTheme="minorHAnsi" w:cstheme="minorHAnsi"/>
              </w:rPr>
              <w:t>o zasadach  realizacji programów w zakresie polityki spójności finansowanych w perspektywie finansowej 2014-2020.</w:t>
            </w:r>
          </w:p>
        </w:tc>
      </w:tr>
      <w:tr w:rsidR="00A90519" w:rsidRPr="00D972AC" w:rsidTr="00652CEE">
        <w:trPr>
          <w:trHeight w:val="1531"/>
        </w:trPr>
        <w:tc>
          <w:tcPr>
            <w:tcW w:w="596" w:type="dxa"/>
          </w:tcPr>
          <w:p w:rsidR="00A90519" w:rsidRPr="003E1539" w:rsidRDefault="00A90519" w:rsidP="004F62A3">
            <w:pPr>
              <w:pStyle w:val="Akapitzlist"/>
              <w:numPr>
                <w:ilvl w:val="0"/>
                <w:numId w:val="2"/>
              </w:numPr>
              <w:spacing w:after="0" w:line="240" w:lineRule="auto"/>
              <w:ind w:left="473"/>
              <w:rPr>
                <w:rFonts w:asciiTheme="minorHAnsi" w:hAnsiTheme="minorHAnsi" w:cstheme="minorHAnsi"/>
              </w:rPr>
            </w:pPr>
          </w:p>
        </w:tc>
        <w:tc>
          <w:tcPr>
            <w:tcW w:w="3148" w:type="dxa"/>
          </w:tcPr>
          <w:p w:rsidR="00A90519" w:rsidRPr="007F628F" w:rsidRDefault="00A90519" w:rsidP="004F62A3">
            <w:pPr>
              <w:spacing w:after="0" w:line="240" w:lineRule="auto"/>
              <w:rPr>
                <w:rFonts w:asciiTheme="minorHAnsi" w:hAnsiTheme="minorHAnsi" w:cstheme="minorHAnsi"/>
                <w:bCs/>
              </w:rPr>
            </w:pPr>
            <w:r w:rsidRPr="00A90519">
              <w:rPr>
                <w:rFonts w:asciiTheme="minorHAnsi" w:hAnsiTheme="minorHAnsi" w:cstheme="minorHAnsi"/>
                <w:bCs/>
              </w:rPr>
              <w:t>ROZDZIAŁ 6 SZCZEGÓŁOWE PROCEDURY OCENY PROJEKTÓW POZAKONKURSOWYCH/6.3 OCENA FORMALNA/pkt 1</w:t>
            </w:r>
            <w:r>
              <w:rPr>
                <w:rFonts w:asciiTheme="minorHAnsi" w:hAnsiTheme="minorHAnsi" w:cstheme="minorHAnsi"/>
                <w:bCs/>
              </w:rPr>
              <w:t>0</w:t>
            </w:r>
          </w:p>
        </w:tc>
        <w:tc>
          <w:tcPr>
            <w:tcW w:w="4365" w:type="dxa"/>
          </w:tcPr>
          <w:p w:rsidR="00A90519" w:rsidRPr="007F628F" w:rsidRDefault="00A90519" w:rsidP="004F62A3">
            <w:pPr>
              <w:pStyle w:val="Default"/>
              <w:rPr>
                <w:rFonts w:asciiTheme="minorHAnsi" w:hAnsiTheme="minorHAnsi" w:cstheme="minorHAnsi"/>
                <w:color w:val="auto"/>
                <w:sz w:val="22"/>
                <w:szCs w:val="22"/>
              </w:rPr>
            </w:pPr>
            <w:r w:rsidRPr="00A90519">
              <w:rPr>
                <w:rFonts w:asciiTheme="minorHAnsi" w:hAnsiTheme="minorHAnsi" w:cstheme="minorHAnsi"/>
                <w:color w:val="auto"/>
                <w:sz w:val="22"/>
                <w:szCs w:val="22"/>
              </w:rPr>
              <w:t>W trakcie oceny kryterium poprawności wnioskodawca może zostać wezwany przez IZ RPO do uzupełnienia/poprawy lub złożenia wyjaśnień do wniosku.</w:t>
            </w:r>
          </w:p>
        </w:tc>
        <w:tc>
          <w:tcPr>
            <w:tcW w:w="3856" w:type="dxa"/>
          </w:tcPr>
          <w:p w:rsidR="00A90519" w:rsidRPr="00A90519" w:rsidRDefault="00A90519" w:rsidP="00A90519">
            <w:pPr>
              <w:autoSpaceDE w:val="0"/>
              <w:autoSpaceDN w:val="0"/>
              <w:adjustRightInd w:val="0"/>
              <w:spacing w:after="0" w:line="240" w:lineRule="auto"/>
              <w:jc w:val="both"/>
              <w:rPr>
                <w:rFonts w:asciiTheme="minorHAnsi" w:hAnsiTheme="minorHAnsi" w:cstheme="minorHAnsi"/>
                <w:b/>
              </w:rPr>
            </w:pPr>
            <w:r w:rsidRPr="001365FE">
              <w:rPr>
                <w:rFonts w:asciiTheme="minorHAnsi" w:hAnsiTheme="minorHAnsi" w:cstheme="minorHAnsi"/>
              </w:rPr>
              <w:t>W trakcie oceny kryterium poprawności wnioskodawca może zostać wezwany przez IZ RPO do uzupełnienia/poprawy lub złożenia wyjaśnień do wniosku,</w:t>
            </w:r>
            <w:r w:rsidRPr="00A90519">
              <w:rPr>
                <w:rFonts w:asciiTheme="minorHAnsi" w:hAnsiTheme="minorHAnsi" w:cstheme="minorHAnsi"/>
                <w:b/>
              </w:rPr>
              <w:t xml:space="preserve"> przy czym zakres uzupełnienia/poprawy wniosku w odniesieniu do danego kryterium, wskazywany jest przez IZ RPO w wezwaniu i dotyczy: </w:t>
            </w:r>
          </w:p>
          <w:p w:rsidR="00A90519" w:rsidRPr="00A90519" w:rsidRDefault="00A90519" w:rsidP="00A90519">
            <w:pPr>
              <w:numPr>
                <w:ilvl w:val="0"/>
                <w:numId w:val="21"/>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lastRenderedPageBreak/>
              <w:t>uzasadnienia spełnienia kryterium we wniosku  o dofinansowanie projektu,</w:t>
            </w:r>
          </w:p>
          <w:p w:rsidR="00A90519" w:rsidRPr="00A90519" w:rsidRDefault="00A90519" w:rsidP="00A90519">
            <w:pPr>
              <w:numPr>
                <w:ilvl w:val="0"/>
                <w:numId w:val="21"/>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t>informacji we wniosku odnoszących się do definicji danego kryterium,</w:t>
            </w:r>
          </w:p>
          <w:p w:rsidR="00A90519" w:rsidRPr="00A90519" w:rsidRDefault="00A90519" w:rsidP="00A90519">
            <w:pPr>
              <w:numPr>
                <w:ilvl w:val="0"/>
                <w:numId w:val="21"/>
              </w:numPr>
              <w:autoSpaceDE w:val="0"/>
              <w:autoSpaceDN w:val="0"/>
              <w:adjustRightInd w:val="0"/>
              <w:spacing w:after="0" w:line="240" w:lineRule="auto"/>
              <w:jc w:val="both"/>
              <w:rPr>
                <w:rFonts w:asciiTheme="minorHAnsi" w:hAnsiTheme="minorHAnsi" w:cstheme="minorHAnsi"/>
                <w:b/>
              </w:rPr>
            </w:pPr>
            <w:r w:rsidRPr="00A90519">
              <w:rPr>
                <w:rFonts w:asciiTheme="minorHAnsi" w:hAnsiTheme="minorHAnsi" w:cstheme="minorHAnsi"/>
                <w:b/>
              </w:rPr>
              <w:t>informacji we wniosku odnoszących się do uzasadnienia kryteriów,</w:t>
            </w:r>
          </w:p>
          <w:p w:rsidR="00A90519" w:rsidRPr="00A90519" w:rsidRDefault="00A90519" w:rsidP="00A90519">
            <w:pPr>
              <w:numPr>
                <w:ilvl w:val="0"/>
                <w:numId w:val="21"/>
              </w:numPr>
              <w:autoSpaceDE w:val="0"/>
              <w:autoSpaceDN w:val="0"/>
              <w:adjustRightInd w:val="0"/>
              <w:spacing w:after="120" w:line="240" w:lineRule="auto"/>
              <w:jc w:val="both"/>
              <w:rPr>
                <w:rFonts w:asciiTheme="minorHAnsi" w:hAnsiTheme="minorHAnsi" w:cstheme="minorHAnsi"/>
                <w:b/>
              </w:rPr>
            </w:pPr>
            <w:r w:rsidRPr="00A90519">
              <w:rPr>
                <w:rFonts w:asciiTheme="minorHAnsi" w:hAnsiTheme="minorHAnsi" w:cstheme="minorHAnsi"/>
                <w:b/>
              </w:rPr>
              <w:t>informacji dotyczącej typów projektów, do których zastosowanie ma dane kryterium.</w:t>
            </w:r>
          </w:p>
        </w:tc>
        <w:tc>
          <w:tcPr>
            <w:tcW w:w="3232" w:type="dxa"/>
          </w:tcPr>
          <w:p w:rsidR="00A90519" w:rsidRDefault="00A90519" w:rsidP="004F62A3">
            <w:pPr>
              <w:autoSpaceDE w:val="0"/>
              <w:autoSpaceDN w:val="0"/>
              <w:adjustRightInd w:val="0"/>
              <w:spacing w:after="0" w:line="240" w:lineRule="auto"/>
              <w:rPr>
                <w:rFonts w:asciiTheme="minorHAnsi" w:hAnsiTheme="minorHAnsi" w:cstheme="minorHAnsi"/>
              </w:rPr>
            </w:pPr>
            <w:r w:rsidRPr="00A90519">
              <w:rPr>
                <w:rFonts w:asciiTheme="minorHAnsi" w:hAnsiTheme="minorHAnsi" w:cstheme="minorHAnsi"/>
              </w:rPr>
              <w:lastRenderedPageBreak/>
              <w:t>Dostosowanie zapisów do art. 45, ust. 3 ustawy o zasadach  realizacji programów w zakresie polityki spójności finansowanych w perspektywie finansowej 2014-2020.</w:t>
            </w:r>
          </w:p>
        </w:tc>
      </w:tr>
      <w:tr w:rsidR="004F62A3" w:rsidRPr="00D972AC" w:rsidTr="00652CEE">
        <w:trPr>
          <w:trHeight w:val="1531"/>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3E1539" w:rsidRDefault="004F62A3" w:rsidP="004F62A3">
            <w:pPr>
              <w:spacing w:after="0" w:line="240" w:lineRule="auto"/>
              <w:rPr>
                <w:rFonts w:asciiTheme="minorHAnsi" w:hAnsiTheme="minorHAnsi" w:cstheme="minorHAnsi"/>
                <w:bCs/>
                <w:lang w:val="x-none"/>
              </w:rPr>
            </w:pPr>
            <w:r w:rsidRPr="007F628F">
              <w:rPr>
                <w:rFonts w:asciiTheme="minorHAnsi" w:hAnsiTheme="minorHAnsi" w:cstheme="minorHAnsi"/>
                <w:bCs/>
              </w:rPr>
              <w:t>ROZDZIAŁ 6 SZCZEGÓŁOWE PROCEDURY OCENY PROJEKTÓW POZAKONKURSOWYCH/6.</w:t>
            </w:r>
            <w:r>
              <w:rPr>
                <w:rFonts w:asciiTheme="minorHAnsi" w:hAnsiTheme="minorHAnsi" w:cstheme="minorHAnsi"/>
                <w:bCs/>
              </w:rPr>
              <w:t xml:space="preserve">3 </w:t>
            </w:r>
            <w:r w:rsidRPr="005B69B4">
              <w:rPr>
                <w:rFonts w:cs="Calibri"/>
                <w:lang w:eastAsia="pl-PL"/>
              </w:rPr>
              <w:t>OCENA FORMALNA</w:t>
            </w:r>
            <w:r>
              <w:rPr>
                <w:rFonts w:cs="Calibri"/>
                <w:lang w:eastAsia="pl-PL"/>
              </w:rPr>
              <w:t>/pkt 13</w:t>
            </w:r>
          </w:p>
        </w:tc>
        <w:tc>
          <w:tcPr>
            <w:tcW w:w="4365" w:type="dxa"/>
          </w:tcPr>
          <w:p w:rsidR="004F62A3" w:rsidRPr="001F3553" w:rsidRDefault="004F62A3" w:rsidP="004F62A3">
            <w:pPr>
              <w:pStyle w:val="Default"/>
              <w:rPr>
                <w:rFonts w:asciiTheme="minorHAnsi" w:hAnsiTheme="minorHAnsi" w:cstheme="minorHAnsi"/>
                <w:color w:val="auto"/>
                <w:sz w:val="22"/>
                <w:szCs w:val="22"/>
              </w:rPr>
            </w:pPr>
            <w:r w:rsidRPr="007F628F">
              <w:rPr>
                <w:rFonts w:asciiTheme="minorHAnsi" w:hAnsiTheme="minorHAnsi" w:cstheme="minorHAnsi"/>
                <w:color w:val="auto"/>
                <w:sz w:val="22"/>
                <w:szCs w:val="22"/>
              </w:rPr>
              <w:t>Uzupełnienie/poprawa wniosku lub złożenie wyjaśnień nie może prowadzić do istotnych modyfikacji wniosku.  IZ RPO dokona oceny, czy wyjaśnienie, uzupełnienie lub poprawa wniosku  doprowadziło do istotnej modyfikacji wniosku o dofinansowanie.</w:t>
            </w:r>
          </w:p>
        </w:tc>
        <w:tc>
          <w:tcPr>
            <w:tcW w:w="3856" w:type="dxa"/>
          </w:tcPr>
          <w:p w:rsidR="004F62A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w:t>
            </w:r>
          </w:p>
          <w:p w:rsidR="004F62A3" w:rsidRDefault="004F62A3" w:rsidP="004F62A3">
            <w:pPr>
              <w:autoSpaceDE w:val="0"/>
              <w:autoSpaceDN w:val="0"/>
              <w:adjustRightInd w:val="0"/>
              <w:spacing w:after="120" w:line="240" w:lineRule="auto"/>
              <w:ind w:left="33"/>
              <w:jc w:val="both"/>
              <w:rPr>
                <w:rFonts w:asciiTheme="minorHAnsi" w:hAnsiTheme="minorHAnsi" w:cstheme="minorHAnsi"/>
              </w:rPr>
            </w:pPr>
          </w:p>
          <w:p w:rsidR="004F62A3" w:rsidRPr="001F355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Równocześnie zmianie ulega numeracja pozostałych punktów.</w:t>
            </w:r>
          </w:p>
        </w:tc>
        <w:tc>
          <w:tcPr>
            <w:tcW w:w="3232" w:type="dxa"/>
          </w:tcPr>
          <w:p w:rsidR="004F62A3" w:rsidRPr="001F355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F62A3" w:rsidRPr="00D972AC" w:rsidTr="00652CEE">
        <w:trPr>
          <w:trHeight w:val="1133"/>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2926E9" w:rsidRDefault="004F62A3" w:rsidP="004F62A3">
            <w:pPr>
              <w:spacing w:after="0" w:line="240" w:lineRule="auto"/>
              <w:rPr>
                <w:rFonts w:asciiTheme="minorHAnsi" w:hAnsiTheme="minorHAnsi" w:cstheme="minorHAnsi"/>
                <w:bCs/>
              </w:rPr>
            </w:pPr>
            <w:r w:rsidRPr="007F628F">
              <w:rPr>
                <w:rFonts w:asciiTheme="minorHAnsi" w:hAnsiTheme="minorHAnsi" w:cstheme="minorHAnsi"/>
                <w:bCs/>
              </w:rPr>
              <w:t>ROZDZIAŁ 6 SZCZEGÓŁOWE PROCEDURY OCENY PROJEKTÓW POZAKONKURSOWYCH/6.3 OCENA FORMALNA/pkt 1</w:t>
            </w:r>
            <w:r>
              <w:rPr>
                <w:rFonts w:asciiTheme="minorHAnsi" w:hAnsiTheme="minorHAnsi" w:cstheme="minorHAnsi"/>
                <w:bCs/>
              </w:rPr>
              <w:t>4</w:t>
            </w:r>
          </w:p>
        </w:tc>
        <w:tc>
          <w:tcPr>
            <w:tcW w:w="4365" w:type="dxa"/>
          </w:tcPr>
          <w:p w:rsidR="004F62A3" w:rsidRPr="007F628F" w:rsidRDefault="004F62A3" w:rsidP="004F62A3">
            <w:pPr>
              <w:pStyle w:val="Default"/>
              <w:rPr>
                <w:rFonts w:asciiTheme="minorHAnsi" w:hAnsiTheme="minorHAnsi" w:cstheme="minorHAnsi"/>
                <w:color w:val="auto"/>
                <w:sz w:val="22"/>
                <w:szCs w:val="22"/>
              </w:rPr>
            </w:pPr>
            <w:r w:rsidRPr="007F628F">
              <w:rPr>
                <w:rFonts w:asciiTheme="minorHAnsi" w:hAnsiTheme="minorHAnsi" w:cstheme="minorHAnsi"/>
                <w:color w:val="auto"/>
                <w:sz w:val="22"/>
                <w:szCs w:val="22"/>
              </w:rPr>
              <w:t xml:space="preserve">W przypadku, gdy w projekcie wprowadzone zostaną zmiany inne niż te, o których mowa w pkt  </w:t>
            </w:r>
            <w:r w:rsidRPr="007F628F">
              <w:rPr>
                <w:rFonts w:asciiTheme="minorHAnsi" w:hAnsiTheme="minorHAnsi" w:cstheme="minorHAnsi"/>
                <w:b/>
                <w:color w:val="auto"/>
                <w:sz w:val="22"/>
                <w:szCs w:val="22"/>
              </w:rPr>
              <w:t>14,</w:t>
            </w:r>
            <w:r w:rsidRPr="007F628F">
              <w:rPr>
                <w:rFonts w:asciiTheme="minorHAnsi" w:hAnsiTheme="minorHAnsi" w:cstheme="minorHAnsi"/>
                <w:color w:val="auto"/>
                <w:sz w:val="22"/>
                <w:szCs w:val="22"/>
              </w:rPr>
              <w:t xml:space="preserve"> projekt w zakresie kryterium poprawności uzyskuje definitywnie ocenę negatywną i nie podlega dalszej ocenie.</w:t>
            </w:r>
          </w:p>
          <w:p w:rsidR="004F62A3" w:rsidRPr="00774B2D" w:rsidRDefault="004F62A3" w:rsidP="004F62A3">
            <w:pPr>
              <w:pStyle w:val="Default"/>
              <w:rPr>
                <w:rFonts w:asciiTheme="minorHAnsi" w:hAnsiTheme="minorHAnsi" w:cstheme="minorHAnsi"/>
                <w:color w:val="auto"/>
                <w:sz w:val="22"/>
                <w:szCs w:val="22"/>
              </w:rPr>
            </w:pPr>
          </w:p>
        </w:tc>
        <w:tc>
          <w:tcPr>
            <w:tcW w:w="3856" w:type="dxa"/>
          </w:tcPr>
          <w:p w:rsidR="004F62A3" w:rsidRPr="007F628F" w:rsidRDefault="004F62A3" w:rsidP="004F62A3">
            <w:pPr>
              <w:widowControl w:val="0"/>
              <w:autoSpaceDE w:val="0"/>
              <w:autoSpaceDN w:val="0"/>
              <w:adjustRightInd w:val="0"/>
              <w:snapToGrid w:val="0"/>
              <w:spacing w:after="120" w:line="240" w:lineRule="auto"/>
              <w:rPr>
                <w:rFonts w:asciiTheme="minorHAnsi" w:hAnsiTheme="minorHAnsi" w:cstheme="minorHAnsi"/>
              </w:rPr>
            </w:pPr>
            <w:r w:rsidRPr="007F628F">
              <w:rPr>
                <w:rFonts w:asciiTheme="minorHAnsi" w:hAnsiTheme="minorHAnsi" w:cstheme="minorHAnsi"/>
              </w:rPr>
              <w:t xml:space="preserve">W przypadku, gdy w projekcie wprowadzone zostaną zmiany inne niż te, o których mowa w pkt  </w:t>
            </w:r>
            <w:r w:rsidRPr="007F628F">
              <w:rPr>
                <w:rFonts w:asciiTheme="minorHAnsi" w:hAnsiTheme="minorHAnsi" w:cstheme="minorHAnsi"/>
                <w:b/>
              </w:rPr>
              <w:t>13</w:t>
            </w:r>
            <w:r w:rsidRPr="007F628F">
              <w:rPr>
                <w:rFonts w:asciiTheme="minorHAnsi" w:hAnsiTheme="minorHAnsi" w:cstheme="minorHAnsi"/>
              </w:rPr>
              <w:t>, projekt w zakresie kryterium poprawności uzyskuje definitywnie ocenę negatywną i nie podlega dalszej ocenie.</w:t>
            </w:r>
          </w:p>
          <w:p w:rsidR="004F62A3" w:rsidRPr="00E27347" w:rsidRDefault="004F62A3" w:rsidP="004F62A3">
            <w:pPr>
              <w:widowControl w:val="0"/>
              <w:autoSpaceDE w:val="0"/>
              <w:autoSpaceDN w:val="0"/>
              <w:adjustRightInd w:val="0"/>
              <w:snapToGrid w:val="0"/>
              <w:spacing w:after="120" w:line="240" w:lineRule="auto"/>
              <w:ind w:left="78"/>
              <w:jc w:val="both"/>
              <w:rPr>
                <w:rFonts w:cs="Calibri"/>
              </w:rPr>
            </w:pPr>
          </w:p>
        </w:tc>
        <w:tc>
          <w:tcPr>
            <w:tcW w:w="3232" w:type="dxa"/>
          </w:tcPr>
          <w:p w:rsidR="004F62A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Właściwe odwołanie do punktu. </w:t>
            </w:r>
          </w:p>
        </w:tc>
      </w:tr>
      <w:tr w:rsidR="004F62A3" w:rsidRPr="00D972AC" w:rsidTr="00652CEE">
        <w:trPr>
          <w:trHeight w:val="1531"/>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E27347" w:rsidRDefault="004F62A3" w:rsidP="004F62A3">
            <w:pPr>
              <w:spacing w:after="0" w:line="240" w:lineRule="auto"/>
              <w:rPr>
                <w:rFonts w:asciiTheme="minorHAnsi" w:hAnsiTheme="minorHAnsi" w:cstheme="minorHAnsi"/>
                <w:bCs/>
              </w:rPr>
            </w:pPr>
            <w:r w:rsidRPr="007F628F">
              <w:rPr>
                <w:rFonts w:asciiTheme="minorHAnsi" w:hAnsiTheme="minorHAnsi" w:cstheme="minorHAnsi"/>
                <w:bCs/>
              </w:rPr>
              <w:t>ROZDZIAŁ 6 SZCZEGÓŁOWE PROCEDURY OCENY PROJEKTÓW POZAKONKURSOWYCH/6.3 OCENA FORMALNA/pkt 1</w:t>
            </w:r>
            <w:r>
              <w:rPr>
                <w:rFonts w:asciiTheme="minorHAnsi" w:hAnsiTheme="minorHAnsi" w:cstheme="minorHAnsi"/>
                <w:bCs/>
              </w:rPr>
              <w:t>5</w:t>
            </w:r>
          </w:p>
        </w:tc>
        <w:tc>
          <w:tcPr>
            <w:tcW w:w="4365" w:type="dxa"/>
          </w:tcPr>
          <w:p w:rsidR="004F62A3" w:rsidRPr="003D7AF5" w:rsidRDefault="004F62A3" w:rsidP="004F62A3">
            <w:pPr>
              <w:pStyle w:val="Default"/>
              <w:rPr>
                <w:rFonts w:asciiTheme="minorHAnsi" w:hAnsiTheme="minorHAnsi" w:cstheme="minorHAnsi"/>
                <w:color w:val="auto"/>
                <w:sz w:val="22"/>
                <w:szCs w:val="22"/>
              </w:rPr>
            </w:pPr>
            <w:r w:rsidRPr="004F5237">
              <w:rPr>
                <w:rFonts w:asciiTheme="minorHAnsi" w:hAnsiTheme="minorHAnsi" w:cstheme="minorHAnsi"/>
                <w:color w:val="auto"/>
                <w:sz w:val="22"/>
                <w:szCs w:val="22"/>
              </w:rPr>
              <w:t xml:space="preserve">Niedokonanie przez wnioskodawcę wszystkich uzupełnień/poprawek wskazanych w wezwaniu, o którym mowa w pkt 12, dokonanie nieprawidłowych uzupełnień/poprawek </w:t>
            </w:r>
            <w:r w:rsidRPr="004F5237">
              <w:rPr>
                <w:rFonts w:asciiTheme="minorHAnsi" w:hAnsiTheme="minorHAnsi" w:cstheme="minorHAnsi"/>
                <w:b/>
                <w:color w:val="auto"/>
                <w:sz w:val="22"/>
                <w:szCs w:val="22"/>
              </w:rPr>
              <w:t>(w tym dokonanie istotnej modyfikacji wniosku)</w:t>
            </w:r>
            <w:r w:rsidRPr="004F5237">
              <w:rPr>
                <w:rFonts w:asciiTheme="minorHAnsi" w:hAnsiTheme="minorHAnsi" w:cstheme="minorHAnsi"/>
                <w:color w:val="auto"/>
                <w:sz w:val="22"/>
                <w:szCs w:val="22"/>
              </w:rPr>
              <w:t xml:space="preserve">, niezłożenie wyjaśnień lub złożenie wyjaśnień niedostatecznych (tj. takich, których treść nie pozwala uznać kryterium poprawności za </w:t>
            </w:r>
            <w:r w:rsidRPr="004F5237">
              <w:rPr>
                <w:rFonts w:asciiTheme="minorHAnsi" w:hAnsiTheme="minorHAnsi" w:cstheme="minorHAnsi"/>
                <w:color w:val="auto"/>
                <w:sz w:val="22"/>
                <w:szCs w:val="22"/>
              </w:rPr>
              <w:lastRenderedPageBreak/>
              <w:t>spełnione)</w:t>
            </w:r>
            <w:r w:rsidRPr="004F5237" w:rsidDel="007A7322">
              <w:rPr>
                <w:rFonts w:asciiTheme="minorHAnsi" w:hAnsiTheme="minorHAnsi" w:cstheme="minorHAnsi"/>
                <w:color w:val="auto"/>
                <w:sz w:val="22"/>
                <w:szCs w:val="22"/>
              </w:rPr>
              <w:t xml:space="preserve"> </w:t>
            </w:r>
            <w:r w:rsidRPr="004F5237">
              <w:rPr>
                <w:rFonts w:asciiTheme="minorHAnsi" w:hAnsiTheme="minorHAnsi" w:cstheme="minorHAnsi"/>
                <w:color w:val="auto"/>
                <w:sz w:val="22"/>
                <w:szCs w:val="22"/>
              </w:rPr>
              <w:t>stanowi podstawę negatywnej oceny projektu.</w:t>
            </w:r>
          </w:p>
        </w:tc>
        <w:tc>
          <w:tcPr>
            <w:tcW w:w="3856" w:type="dxa"/>
          </w:tcPr>
          <w:p w:rsidR="004F62A3" w:rsidRPr="003D7AF5" w:rsidRDefault="004F62A3" w:rsidP="004F62A3">
            <w:pPr>
              <w:autoSpaceDE w:val="0"/>
              <w:autoSpaceDN w:val="0"/>
              <w:adjustRightInd w:val="0"/>
              <w:spacing w:after="120" w:line="240" w:lineRule="auto"/>
              <w:ind w:left="33" w:hanging="20"/>
              <w:rPr>
                <w:rFonts w:asciiTheme="minorHAnsi" w:hAnsiTheme="minorHAnsi" w:cstheme="minorHAnsi"/>
              </w:rPr>
            </w:pPr>
            <w:r w:rsidRPr="004F5237">
              <w:rPr>
                <w:rFonts w:asciiTheme="minorHAnsi" w:hAnsiTheme="minorHAnsi" w:cstheme="minorHAnsi"/>
              </w:rPr>
              <w:lastRenderedPageBreak/>
              <w:t>Niedokonanie przez wnioskodawcę wszystkich uzupełnień/poprawek wskazanych w wezwaniu, o którym mowa w pkt 12, dokonanie nieprawidłowych uzupełnień/poprawek, niezłożenie wyjaśnień lub złożenie wyjaśnień niedostatecznych (tj. takich, których treść nie pozwala uznać kryterium poprawności za spełnione)</w:t>
            </w:r>
            <w:r w:rsidRPr="004F5237" w:rsidDel="007A7322">
              <w:rPr>
                <w:rFonts w:asciiTheme="minorHAnsi" w:hAnsiTheme="minorHAnsi" w:cstheme="minorHAnsi"/>
              </w:rPr>
              <w:t xml:space="preserve"> </w:t>
            </w:r>
            <w:r w:rsidRPr="004F5237">
              <w:rPr>
                <w:rFonts w:asciiTheme="minorHAnsi" w:hAnsiTheme="minorHAnsi" w:cstheme="minorHAnsi"/>
              </w:rPr>
              <w:lastRenderedPageBreak/>
              <w:t>stanowi podstawę negatywnej oceny projektu.</w:t>
            </w:r>
          </w:p>
        </w:tc>
        <w:tc>
          <w:tcPr>
            <w:tcW w:w="3232" w:type="dxa"/>
          </w:tcPr>
          <w:p w:rsidR="004F62A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1365FE" w:rsidRPr="00D972AC" w:rsidTr="00652CEE">
        <w:trPr>
          <w:trHeight w:val="1531"/>
        </w:trPr>
        <w:tc>
          <w:tcPr>
            <w:tcW w:w="596" w:type="dxa"/>
          </w:tcPr>
          <w:p w:rsidR="001365FE" w:rsidRPr="003E1539" w:rsidRDefault="001365FE" w:rsidP="004F62A3">
            <w:pPr>
              <w:pStyle w:val="Akapitzlist"/>
              <w:numPr>
                <w:ilvl w:val="0"/>
                <w:numId w:val="2"/>
              </w:numPr>
              <w:spacing w:after="0" w:line="240" w:lineRule="auto"/>
              <w:ind w:left="473"/>
              <w:rPr>
                <w:rFonts w:asciiTheme="minorHAnsi" w:hAnsiTheme="minorHAnsi" w:cstheme="minorHAnsi"/>
              </w:rPr>
            </w:pPr>
          </w:p>
        </w:tc>
        <w:tc>
          <w:tcPr>
            <w:tcW w:w="3148" w:type="dxa"/>
          </w:tcPr>
          <w:p w:rsidR="001365FE" w:rsidRPr="007F628F" w:rsidRDefault="001365FE" w:rsidP="004F62A3">
            <w:pPr>
              <w:spacing w:after="0" w:line="240" w:lineRule="auto"/>
              <w:rPr>
                <w:rFonts w:asciiTheme="minorHAnsi" w:hAnsiTheme="minorHAnsi" w:cstheme="minorHAnsi"/>
                <w:bCs/>
              </w:rPr>
            </w:pPr>
            <w:r w:rsidRPr="001365FE">
              <w:rPr>
                <w:rFonts w:asciiTheme="minorHAnsi" w:hAnsiTheme="minorHAnsi" w:cstheme="minorHAnsi"/>
                <w:bCs/>
              </w:rPr>
              <w:t xml:space="preserve">ROZDZIAŁ 6 SZCZEGÓŁOWE PROCEDURY OCENY PROJEKTÓW POZAKONKURSOWYCH/6.4 OCENA MERYTORYCZNA/pkt </w:t>
            </w:r>
            <w:r>
              <w:rPr>
                <w:rFonts w:asciiTheme="minorHAnsi" w:hAnsiTheme="minorHAnsi" w:cstheme="minorHAnsi"/>
                <w:bCs/>
              </w:rPr>
              <w:t>7</w:t>
            </w:r>
          </w:p>
        </w:tc>
        <w:tc>
          <w:tcPr>
            <w:tcW w:w="4365" w:type="dxa"/>
          </w:tcPr>
          <w:p w:rsidR="001365FE" w:rsidRPr="00514593" w:rsidRDefault="001365FE" w:rsidP="004F62A3">
            <w:pPr>
              <w:pStyle w:val="Default"/>
              <w:rPr>
                <w:rFonts w:asciiTheme="minorHAnsi" w:hAnsiTheme="minorHAnsi" w:cstheme="minorHAnsi"/>
                <w:color w:val="auto"/>
                <w:sz w:val="22"/>
                <w:szCs w:val="22"/>
              </w:rPr>
            </w:pPr>
            <w:r w:rsidRPr="001365FE">
              <w:rPr>
                <w:rFonts w:asciiTheme="minorHAnsi" w:hAnsiTheme="minorHAnsi" w:cstheme="minorHAnsi"/>
                <w:color w:val="auto"/>
                <w:sz w:val="22"/>
                <w:szCs w:val="22"/>
              </w:rPr>
              <w:t>Wnioskodawca składa je w terminie 7 dni roboczych liczonych od dnia następnego po dniu wysłania wezwania, o którym mowa w zdaniu poprzedzającym.</w:t>
            </w:r>
          </w:p>
        </w:tc>
        <w:tc>
          <w:tcPr>
            <w:tcW w:w="3856" w:type="dxa"/>
          </w:tcPr>
          <w:p w:rsidR="001365FE" w:rsidRPr="001365FE" w:rsidRDefault="001365FE" w:rsidP="001365FE">
            <w:pPr>
              <w:autoSpaceDE w:val="0"/>
              <w:autoSpaceDN w:val="0"/>
              <w:adjustRightInd w:val="0"/>
              <w:spacing w:after="0" w:line="240" w:lineRule="auto"/>
              <w:jc w:val="both"/>
              <w:rPr>
                <w:rFonts w:asciiTheme="minorHAnsi" w:hAnsiTheme="minorHAnsi" w:cstheme="minorHAnsi"/>
                <w:b/>
              </w:rPr>
            </w:pPr>
            <w:r w:rsidRPr="001365FE">
              <w:rPr>
                <w:rFonts w:asciiTheme="minorHAnsi" w:hAnsiTheme="minorHAnsi" w:cstheme="minorHAnsi"/>
              </w:rPr>
              <w:t xml:space="preserve">Wnioskodawca składa je w terminie 7 dni roboczych liczonych od dnia następnego po dniu wysłania wezwania, o którym mowa w zdaniu poprzedzającym, </w:t>
            </w:r>
            <w:r w:rsidRPr="001365FE">
              <w:rPr>
                <w:rFonts w:asciiTheme="minorHAnsi" w:hAnsiTheme="minorHAnsi" w:cstheme="minorHAnsi"/>
                <w:b/>
              </w:rPr>
              <w:t xml:space="preserve">przy czym zakres uzupełnienia/poprawy wniosku w odniesieniu do danego kryterium, wskazywany jest przez IZ RPO w wezwaniu i dotyczy: </w:t>
            </w:r>
          </w:p>
          <w:p w:rsidR="001365FE" w:rsidRPr="001365FE" w:rsidRDefault="001365FE" w:rsidP="001365FE">
            <w:pPr>
              <w:numPr>
                <w:ilvl w:val="0"/>
                <w:numId w:val="23"/>
              </w:numPr>
              <w:autoSpaceDE w:val="0"/>
              <w:autoSpaceDN w:val="0"/>
              <w:adjustRightInd w:val="0"/>
              <w:spacing w:after="0" w:line="240" w:lineRule="auto"/>
              <w:jc w:val="both"/>
              <w:rPr>
                <w:rFonts w:asciiTheme="minorHAnsi" w:hAnsiTheme="minorHAnsi" w:cstheme="minorHAnsi"/>
                <w:b/>
              </w:rPr>
            </w:pPr>
            <w:r w:rsidRPr="001365FE">
              <w:rPr>
                <w:rFonts w:asciiTheme="minorHAnsi" w:hAnsiTheme="minorHAnsi" w:cstheme="minorHAnsi"/>
                <w:b/>
              </w:rPr>
              <w:t>uzasadnienia spełnienia kryterium we wniosku  o dofinansowanie projektu,</w:t>
            </w:r>
          </w:p>
          <w:p w:rsidR="001365FE" w:rsidRPr="001365FE" w:rsidRDefault="001365FE" w:rsidP="001365FE">
            <w:pPr>
              <w:numPr>
                <w:ilvl w:val="0"/>
                <w:numId w:val="23"/>
              </w:numPr>
              <w:autoSpaceDE w:val="0"/>
              <w:autoSpaceDN w:val="0"/>
              <w:adjustRightInd w:val="0"/>
              <w:spacing w:after="0" w:line="240" w:lineRule="auto"/>
              <w:jc w:val="both"/>
              <w:rPr>
                <w:rFonts w:asciiTheme="minorHAnsi" w:hAnsiTheme="minorHAnsi" w:cstheme="minorHAnsi"/>
                <w:b/>
              </w:rPr>
            </w:pPr>
            <w:r w:rsidRPr="001365FE">
              <w:rPr>
                <w:rFonts w:asciiTheme="minorHAnsi" w:hAnsiTheme="minorHAnsi" w:cstheme="minorHAnsi"/>
                <w:b/>
              </w:rPr>
              <w:t>informacji we wniosku odnoszących się do definicji danego kryterium,</w:t>
            </w:r>
          </w:p>
          <w:p w:rsidR="001365FE" w:rsidRPr="001365FE" w:rsidRDefault="001365FE" w:rsidP="001365FE">
            <w:pPr>
              <w:numPr>
                <w:ilvl w:val="0"/>
                <w:numId w:val="23"/>
              </w:numPr>
              <w:autoSpaceDE w:val="0"/>
              <w:autoSpaceDN w:val="0"/>
              <w:adjustRightInd w:val="0"/>
              <w:spacing w:after="0" w:line="240" w:lineRule="auto"/>
              <w:jc w:val="both"/>
              <w:rPr>
                <w:rFonts w:asciiTheme="minorHAnsi" w:hAnsiTheme="minorHAnsi" w:cstheme="minorHAnsi"/>
                <w:b/>
              </w:rPr>
            </w:pPr>
            <w:r w:rsidRPr="001365FE">
              <w:rPr>
                <w:rFonts w:asciiTheme="minorHAnsi" w:hAnsiTheme="minorHAnsi" w:cstheme="minorHAnsi"/>
                <w:b/>
              </w:rPr>
              <w:t>informacji we wniosku odnoszących się do uzasadnienia kryteriów,</w:t>
            </w:r>
          </w:p>
          <w:p w:rsidR="001365FE" w:rsidRPr="001365FE" w:rsidRDefault="001365FE" w:rsidP="001365FE">
            <w:pPr>
              <w:numPr>
                <w:ilvl w:val="0"/>
                <w:numId w:val="23"/>
              </w:numPr>
              <w:autoSpaceDE w:val="0"/>
              <w:autoSpaceDN w:val="0"/>
              <w:adjustRightInd w:val="0"/>
              <w:spacing w:after="0" w:line="240" w:lineRule="auto"/>
              <w:jc w:val="both"/>
              <w:rPr>
                <w:rFonts w:asciiTheme="minorHAnsi" w:hAnsiTheme="minorHAnsi" w:cstheme="minorHAnsi"/>
              </w:rPr>
            </w:pPr>
            <w:r w:rsidRPr="001365FE">
              <w:rPr>
                <w:rFonts w:asciiTheme="minorHAnsi" w:hAnsiTheme="minorHAnsi" w:cstheme="minorHAnsi"/>
                <w:b/>
              </w:rPr>
              <w:t>informacji dotyczącej typów projektów, do których zastosowanie ma dane kryterium.</w:t>
            </w:r>
          </w:p>
        </w:tc>
        <w:tc>
          <w:tcPr>
            <w:tcW w:w="3232" w:type="dxa"/>
          </w:tcPr>
          <w:p w:rsidR="001365FE" w:rsidRDefault="001365FE" w:rsidP="004F62A3">
            <w:pPr>
              <w:autoSpaceDE w:val="0"/>
              <w:autoSpaceDN w:val="0"/>
              <w:adjustRightInd w:val="0"/>
              <w:spacing w:after="0" w:line="240" w:lineRule="auto"/>
              <w:rPr>
                <w:rFonts w:asciiTheme="minorHAnsi" w:hAnsiTheme="minorHAnsi" w:cstheme="minorHAnsi"/>
              </w:rPr>
            </w:pPr>
            <w:r w:rsidRPr="001365FE">
              <w:rPr>
                <w:rFonts w:asciiTheme="minorHAnsi" w:hAnsiTheme="minorHAnsi" w:cstheme="minorHAnsi"/>
              </w:rPr>
              <w:t>Dostosowanie zapisów do art. 45, ust. 3 ustawy o zasadach  realizacji programów w zakresie polityki spójności finansowanych w perspektywie finansowej 2014-2020.</w:t>
            </w:r>
          </w:p>
        </w:tc>
      </w:tr>
      <w:tr w:rsidR="004F62A3" w:rsidRPr="00D972AC" w:rsidTr="00652CEE">
        <w:trPr>
          <w:trHeight w:val="1531"/>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E27347" w:rsidRDefault="004F62A3" w:rsidP="004F62A3">
            <w:pPr>
              <w:spacing w:after="0" w:line="240" w:lineRule="auto"/>
              <w:rPr>
                <w:rFonts w:asciiTheme="minorHAnsi" w:hAnsiTheme="minorHAnsi" w:cstheme="minorHAnsi"/>
                <w:bCs/>
              </w:rPr>
            </w:pPr>
            <w:r w:rsidRPr="007F628F">
              <w:rPr>
                <w:rFonts w:asciiTheme="minorHAnsi" w:hAnsiTheme="minorHAnsi" w:cstheme="minorHAnsi"/>
                <w:bCs/>
              </w:rPr>
              <w:t>ROZDZIAŁ 6 SZCZEGÓŁOWE PROCEDURY OCEN</w:t>
            </w:r>
            <w:r>
              <w:rPr>
                <w:rFonts w:asciiTheme="minorHAnsi" w:hAnsiTheme="minorHAnsi" w:cstheme="minorHAnsi"/>
                <w:bCs/>
              </w:rPr>
              <w:t>Y PROJEKTÓW POZAKONKURSOWYCH/6.4</w:t>
            </w:r>
            <w:r w:rsidRPr="007F628F">
              <w:rPr>
                <w:rFonts w:asciiTheme="minorHAnsi" w:hAnsiTheme="minorHAnsi" w:cstheme="minorHAnsi"/>
                <w:bCs/>
              </w:rPr>
              <w:t xml:space="preserve"> OCENA </w:t>
            </w:r>
            <w:r>
              <w:rPr>
                <w:rFonts w:asciiTheme="minorHAnsi" w:hAnsiTheme="minorHAnsi" w:cstheme="minorHAnsi"/>
                <w:bCs/>
              </w:rPr>
              <w:t>MERYTORYCZNA</w:t>
            </w:r>
            <w:r w:rsidRPr="007F628F">
              <w:rPr>
                <w:rFonts w:asciiTheme="minorHAnsi" w:hAnsiTheme="minorHAnsi" w:cstheme="minorHAnsi"/>
                <w:bCs/>
              </w:rPr>
              <w:t xml:space="preserve">/pkt </w:t>
            </w:r>
            <w:r>
              <w:rPr>
                <w:rFonts w:asciiTheme="minorHAnsi" w:hAnsiTheme="minorHAnsi" w:cstheme="minorHAnsi"/>
                <w:bCs/>
              </w:rPr>
              <w:t>8</w:t>
            </w:r>
          </w:p>
        </w:tc>
        <w:tc>
          <w:tcPr>
            <w:tcW w:w="4365" w:type="dxa"/>
          </w:tcPr>
          <w:p w:rsidR="004F62A3" w:rsidRPr="00774B2D" w:rsidRDefault="004F62A3" w:rsidP="004F62A3">
            <w:pPr>
              <w:pStyle w:val="Default"/>
              <w:rPr>
                <w:rFonts w:asciiTheme="minorHAnsi" w:hAnsiTheme="minorHAnsi" w:cstheme="minorHAnsi"/>
                <w:color w:val="auto"/>
                <w:sz w:val="22"/>
                <w:szCs w:val="22"/>
              </w:rPr>
            </w:pPr>
            <w:r w:rsidRPr="00514593">
              <w:rPr>
                <w:rFonts w:asciiTheme="minorHAnsi" w:hAnsiTheme="minorHAnsi" w:cstheme="minorHAnsi"/>
                <w:color w:val="auto"/>
                <w:sz w:val="22"/>
                <w:szCs w:val="22"/>
              </w:rPr>
              <w:t>Złożenie wyjaśnień, o których mowa w pkt 7 nie może prowadzić do istotnej modyfikacji wniosku. IZ RPO dokona oceny, czy wyjaśnienia doprowadziły do istotnej modyfikacji wniosku o dofinansowanie.</w:t>
            </w:r>
          </w:p>
        </w:tc>
        <w:tc>
          <w:tcPr>
            <w:tcW w:w="3856" w:type="dxa"/>
          </w:tcPr>
          <w:p w:rsidR="004F62A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w:t>
            </w:r>
          </w:p>
          <w:p w:rsidR="004F62A3" w:rsidRDefault="004F62A3" w:rsidP="004F62A3">
            <w:pPr>
              <w:autoSpaceDE w:val="0"/>
              <w:autoSpaceDN w:val="0"/>
              <w:adjustRightInd w:val="0"/>
              <w:spacing w:after="120" w:line="240" w:lineRule="auto"/>
              <w:ind w:left="33"/>
              <w:jc w:val="both"/>
              <w:rPr>
                <w:rFonts w:asciiTheme="minorHAnsi" w:hAnsiTheme="minorHAnsi" w:cstheme="minorHAnsi"/>
              </w:rPr>
            </w:pPr>
          </w:p>
          <w:p w:rsidR="004F62A3" w:rsidRPr="001F355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Równocześnie zmianie ulega numeracja pozostałych punktów.</w:t>
            </w:r>
          </w:p>
        </w:tc>
        <w:tc>
          <w:tcPr>
            <w:tcW w:w="3232" w:type="dxa"/>
          </w:tcPr>
          <w:p w:rsidR="004F62A3" w:rsidRPr="001F355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F62A3" w:rsidRPr="00D972AC" w:rsidTr="00652CEE">
        <w:trPr>
          <w:trHeight w:val="1531"/>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C9288B" w:rsidRDefault="004F62A3" w:rsidP="004F62A3">
            <w:pPr>
              <w:spacing w:after="0" w:line="240" w:lineRule="auto"/>
              <w:rPr>
                <w:rFonts w:asciiTheme="minorHAnsi" w:hAnsiTheme="minorHAnsi" w:cstheme="minorHAnsi"/>
                <w:bCs/>
                <w:lang w:val="x-none"/>
              </w:rPr>
            </w:pPr>
            <w:r w:rsidRPr="00514593">
              <w:rPr>
                <w:rFonts w:asciiTheme="minorHAnsi" w:hAnsiTheme="minorHAnsi" w:cstheme="minorHAnsi"/>
                <w:bCs/>
              </w:rPr>
              <w:t>ROZDZIAŁ 6 SZCZEGÓŁOWE PROCEDURY OCENY PROJEKTÓW POZAKONKURSOWYCH/6.4 OCENA MERYTORYCZNA/pkt 8</w:t>
            </w:r>
          </w:p>
        </w:tc>
        <w:tc>
          <w:tcPr>
            <w:tcW w:w="4365" w:type="dxa"/>
          </w:tcPr>
          <w:p w:rsidR="004F62A3" w:rsidRPr="00E27347" w:rsidRDefault="004F62A3" w:rsidP="004F62A3">
            <w:pPr>
              <w:pStyle w:val="Default"/>
              <w:rPr>
                <w:rFonts w:asciiTheme="minorHAnsi" w:hAnsiTheme="minorHAnsi" w:cstheme="minorHAnsi"/>
                <w:color w:val="auto"/>
                <w:sz w:val="22"/>
                <w:szCs w:val="22"/>
              </w:rPr>
            </w:pPr>
            <w:r w:rsidRPr="00514593">
              <w:rPr>
                <w:rFonts w:asciiTheme="minorHAnsi" w:hAnsiTheme="minorHAnsi" w:cstheme="minorHAnsi"/>
                <w:color w:val="auto"/>
                <w:sz w:val="22"/>
                <w:szCs w:val="22"/>
              </w:rPr>
              <w:t>W przypadku niezłożenia wyjaśnień</w:t>
            </w:r>
            <w:r w:rsidRPr="00514593">
              <w:rPr>
                <w:rFonts w:asciiTheme="minorHAnsi" w:hAnsiTheme="minorHAnsi" w:cstheme="minorHAnsi"/>
                <w:b/>
                <w:color w:val="auto"/>
                <w:sz w:val="22"/>
                <w:szCs w:val="22"/>
              </w:rPr>
              <w:t>,</w:t>
            </w:r>
            <w:r w:rsidRPr="00514593">
              <w:rPr>
                <w:rFonts w:asciiTheme="minorHAnsi" w:hAnsiTheme="minorHAnsi" w:cstheme="minorHAnsi"/>
                <w:color w:val="auto"/>
                <w:sz w:val="22"/>
                <w:szCs w:val="22"/>
              </w:rPr>
              <w:t xml:space="preserve"> </w:t>
            </w:r>
            <w:r w:rsidRPr="00514593">
              <w:rPr>
                <w:rFonts w:asciiTheme="minorHAnsi" w:hAnsiTheme="minorHAnsi" w:cstheme="minorHAnsi"/>
                <w:b/>
                <w:color w:val="auto"/>
                <w:sz w:val="22"/>
                <w:szCs w:val="22"/>
              </w:rPr>
              <w:t>złożenia wyjaśnień prowadzących do istotnej modyfikacji wniosku</w:t>
            </w:r>
            <w:r w:rsidRPr="00514593">
              <w:rPr>
                <w:rFonts w:asciiTheme="minorHAnsi" w:hAnsiTheme="minorHAnsi" w:cstheme="minorHAnsi"/>
                <w:color w:val="auto"/>
                <w:sz w:val="22"/>
                <w:szCs w:val="22"/>
              </w:rPr>
              <w:t xml:space="preserve"> lub złożenia wyjaśnień niedostatecznych (tj. takich, których treść nie pozwala uznać danego kryterium za spełnione) projekt uzyskuje negatywną ocenę.</w:t>
            </w:r>
          </w:p>
        </w:tc>
        <w:tc>
          <w:tcPr>
            <w:tcW w:w="3856" w:type="dxa"/>
          </w:tcPr>
          <w:p w:rsidR="004F62A3" w:rsidRPr="00514593" w:rsidRDefault="004F62A3" w:rsidP="004F62A3">
            <w:pPr>
              <w:spacing w:line="240" w:lineRule="auto"/>
              <w:rPr>
                <w:rFonts w:asciiTheme="minorHAnsi" w:hAnsiTheme="minorHAnsi" w:cstheme="minorHAnsi"/>
                <w:bCs/>
                <w:iCs/>
              </w:rPr>
            </w:pPr>
            <w:r w:rsidRPr="00514593">
              <w:rPr>
                <w:rFonts w:asciiTheme="minorHAnsi" w:hAnsiTheme="minorHAnsi" w:cstheme="minorHAnsi"/>
                <w:bCs/>
                <w:iCs/>
              </w:rPr>
              <w:t>W przypadku niezłożenia wyjaśnień lub złożenia wyjaśnień niedostatecznych (tj. takich, których treść nie pozwala uznać danego kryterium za spełnione) projekt uzyskuje negatywną ocenę.</w:t>
            </w:r>
          </w:p>
        </w:tc>
        <w:tc>
          <w:tcPr>
            <w:tcW w:w="3232" w:type="dxa"/>
          </w:tcPr>
          <w:p w:rsidR="004F62A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F62A3" w:rsidRPr="00D972AC" w:rsidTr="00652CEE">
        <w:trPr>
          <w:trHeight w:val="1531"/>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E27347" w:rsidRDefault="004F62A3" w:rsidP="004F62A3">
            <w:pPr>
              <w:spacing w:after="0" w:line="240" w:lineRule="auto"/>
              <w:rPr>
                <w:rFonts w:asciiTheme="minorHAnsi" w:hAnsiTheme="minorHAnsi" w:cstheme="minorHAnsi"/>
                <w:bCs/>
                <w:lang w:val="x-none"/>
              </w:rPr>
            </w:pPr>
            <w:r w:rsidRPr="00514593">
              <w:rPr>
                <w:rFonts w:asciiTheme="minorHAnsi" w:hAnsiTheme="minorHAnsi" w:cstheme="minorHAnsi"/>
                <w:bCs/>
              </w:rPr>
              <w:t xml:space="preserve">ROZDZIAŁ 6 SZCZEGÓŁOWE PROCEDURY OCENY PROJEKTÓW POZAKONKURSOWYCH/6.4 OCENA MERYTORYCZNA/pkt </w:t>
            </w:r>
            <w:r>
              <w:rPr>
                <w:rFonts w:asciiTheme="minorHAnsi" w:hAnsiTheme="minorHAnsi" w:cstheme="minorHAnsi"/>
                <w:bCs/>
              </w:rPr>
              <w:t>11</w:t>
            </w:r>
          </w:p>
        </w:tc>
        <w:tc>
          <w:tcPr>
            <w:tcW w:w="4365" w:type="dxa"/>
          </w:tcPr>
          <w:p w:rsidR="004F62A3" w:rsidRPr="00514593" w:rsidRDefault="004F62A3" w:rsidP="004F62A3">
            <w:pPr>
              <w:pStyle w:val="Default"/>
              <w:rPr>
                <w:rFonts w:asciiTheme="minorHAnsi" w:hAnsiTheme="minorHAnsi" w:cstheme="minorHAnsi"/>
              </w:rPr>
            </w:pPr>
            <w:r w:rsidRPr="00514593">
              <w:rPr>
                <w:rFonts w:asciiTheme="minorHAnsi" w:hAnsiTheme="minorHAnsi" w:cstheme="minorHAnsi"/>
              </w:rPr>
              <w:t xml:space="preserve">W sytuacji, w której projekt nie uzyskał minimalnej wymaganej liczby punków, o której mowa w pkt. </w:t>
            </w:r>
            <w:r w:rsidRPr="00514593">
              <w:rPr>
                <w:rFonts w:asciiTheme="minorHAnsi" w:hAnsiTheme="minorHAnsi" w:cstheme="minorHAnsi"/>
                <w:b/>
              </w:rPr>
              <w:t>11</w:t>
            </w:r>
            <w:r w:rsidRPr="00514593">
              <w:rPr>
                <w:rFonts w:asciiTheme="minorHAnsi" w:hAnsiTheme="minorHAnsi" w:cstheme="minorHAnsi"/>
              </w:rPr>
              <w:t xml:space="preserve"> lit. b, IZ RPO informuje wnioskodawcę o negatywnej ocenie projektu wraz z uzasadnieniem oceny </w:t>
            </w:r>
            <w:r w:rsidRPr="00514593">
              <w:rPr>
                <w:rFonts w:asciiTheme="minorHAnsi" w:hAnsiTheme="minorHAnsi" w:cstheme="minorHAnsi"/>
                <w:b/>
              </w:rPr>
              <w:t>i podaniem</w:t>
            </w:r>
            <w:r w:rsidRPr="00514593">
              <w:rPr>
                <w:rFonts w:asciiTheme="minorHAnsi" w:hAnsiTheme="minorHAnsi" w:cstheme="minorHAnsi"/>
              </w:rPr>
              <w:t xml:space="preserve"> punktac</w:t>
            </w:r>
            <w:r w:rsidRPr="00514593">
              <w:rPr>
                <w:rFonts w:asciiTheme="minorHAnsi" w:hAnsiTheme="minorHAnsi" w:cstheme="minorHAnsi"/>
                <w:b/>
              </w:rPr>
              <w:t>ji</w:t>
            </w:r>
            <w:r w:rsidRPr="00514593">
              <w:rPr>
                <w:rFonts w:asciiTheme="minorHAnsi" w:hAnsiTheme="minorHAnsi" w:cstheme="minorHAnsi"/>
              </w:rPr>
              <w:t xml:space="preserve"> uzyskan</w:t>
            </w:r>
            <w:r w:rsidRPr="00514593">
              <w:rPr>
                <w:rFonts w:asciiTheme="minorHAnsi" w:hAnsiTheme="minorHAnsi" w:cstheme="minorHAnsi"/>
                <w:b/>
              </w:rPr>
              <w:t>ej</w:t>
            </w:r>
            <w:r w:rsidRPr="00514593">
              <w:rPr>
                <w:rFonts w:asciiTheme="minorHAnsi" w:hAnsiTheme="minorHAnsi" w:cstheme="minorHAnsi"/>
              </w:rPr>
              <w:t xml:space="preserve"> przez projekt.</w:t>
            </w:r>
          </w:p>
        </w:tc>
        <w:tc>
          <w:tcPr>
            <w:tcW w:w="3856" w:type="dxa"/>
          </w:tcPr>
          <w:p w:rsidR="004F62A3" w:rsidRPr="00EC1C5F" w:rsidRDefault="004F62A3" w:rsidP="004F62A3">
            <w:pPr>
              <w:widowControl w:val="0"/>
              <w:tabs>
                <w:tab w:val="left" w:pos="284"/>
              </w:tabs>
              <w:autoSpaceDE w:val="0"/>
              <w:autoSpaceDN w:val="0"/>
              <w:adjustRightInd w:val="0"/>
              <w:snapToGrid w:val="0"/>
              <w:spacing w:after="120" w:line="240" w:lineRule="auto"/>
              <w:jc w:val="both"/>
              <w:rPr>
                <w:rFonts w:cs="Calibri"/>
                <w:bCs/>
              </w:rPr>
            </w:pPr>
            <w:r w:rsidRPr="00514593">
              <w:rPr>
                <w:rFonts w:cs="Calibri"/>
                <w:bCs/>
              </w:rPr>
              <w:t xml:space="preserve">W sytuacji, w której projekt nie uzyskał minimalnej wymaganej liczby punków, o której mowa w pkt. </w:t>
            </w:r>
            <w:r w:rsidRPr="00514593">
              <w:rPr>
                <w:rFonts w:cs="Calibri"/>
                <w:b/>
                <w:bCs/>
              </w:rPr>
              <w:t>10</w:t>
            </w:r>
            <w:r w:rsidRPr="00514593">
              <w:rPr>
                <w:rFonts w:cs="Calibri"/>
                <w:bCs/>
              </w:rPr>
              <w:t xml:space="preserve"> lit. b, IZ RPO informuje wnioskodawcę o negatywnej ocenie projektu wraz z uzasadnieniem oceny podaj</w:t>
            </w:r>
            <w:r w:rsidRPr="00514593">
              <w:rPr>
                <w:rFonts w:cs="Calibri"/>
                <w:b/>
                <w:bCs/>
              </w:rPr>
              <w:t>ąc</w:t>
            </w:r>
            <w:r w:rsidRPr="00514593">
              <w:rPr>
                <w:rFonts w:cs="Calibri"/>
                <w:bCs/>
              </w:rPr>
              <w:t xml:space="preserve"> punktacj</w:t>
            </w:r>
            <w:r w:rsidRPr="00514593">
              <w:rPr>
                <w:rFonts w:cs="Calibri"/>
                <w:b/>
                <w:bCs/>
              </w:rPr>
              <w:t>ę</w:t>
            </w:r>
            <w:r w:rsidRPr="00514593">
              <w:rPr>
                <w:rFonts w:cs="Calibri"/>
                <w:bCs/>
              </w:rPr>
              <w:t xml:space="preserve"> uzyskan</w:t>
            </w:r>
            <w:r w:rsidRPr="00514593">
              <w:rPr>
                <w:rFonts w:cs="Calibri"/>
                <w:b/>
                <w:bCs/>
              </w:rPr>
              <w:t>ą</w:t>
            </w:r>
            <w:r w:rsidRPr="00514593">
              <w:rPr>
                <w:rFonts w:cs="Calibri"/>
                <w:bCs/>
              </w:rPr>
              <w:t xml:space="preserve"> przez projekt. </w:t>
            </w:r>
          </w:p>
        </w:tc>
        <w:tc>
          <w:tcPr>
            <w:tcW w:w="3232" w:type="dxa"/>
          </w:tcPr>
          <w:p w:rsidR="004F62A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Właściwe odwołanie do punktu oraz 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F62A3" w:rsidRPr="00D972AC" w:rsidTr="00652CEE">
        <w:trPr>
          <w:trHeight w:val="567"/>
        </w:trPr>
        <w:tc>
          <w:tcPr>
            <w:tcW w:w="596" w:type="dxa"/>
          </w:tcPr>
          <w:p w:rsidR="004F62A3" w:rsidRPr="003E1539" w:rsidRDefault="004F62A3" w:rsidP="004F62A3">
            <w:pPr>
              <w:pStyle w:val="Akapitzlist"/>
              <w:numPr>
                <w:ilvl w:val="0"/>
                <w:numId w:val="2"/>
              </w:numPr>
              <w:spacing w:after="0" w:line="240" w:lineRule="auto"/>
              <w:ind w:left="473"/>
              <w:rPr>
                <w:rFonts w:asciiTheme="minorHAnsi" w:hAnsiTheme="minorHAnsi" w:cstheme="minorHAnsi"/>
              </w:rPr>
            </w:pPr>
          </w:p>
        </w:tc>
        <w:tc>
          <w:tcPr>
            <w:tcW w:w="3148" w:type="dxa"/>
          </w:tcPr>
          <w:p w:rsidR="004F62A3" w:rsidRPr="00E27347" w:rsidRDefault="004F62A3" w:rsidP="004F62A3">
            <w:pPr>
              <w:spacing w:after="0" w:line="240" w:lineRule="auto"/>
              <w:rPr>
                <w:rFonts w:asciiTheme="minorHAnsi" w:hAnsiTheme="minorHAnsi" w:cstheme="minorHAnsi"/>
                <w:bCs/>
                <w:lang w:val="x-none"/>
              </w:rPr>
            </w:pPr>
            <w:r w:rsidRPr="00C57BE4">
              <w:rPr>
                <w:rFonts w:asciiTheme="minorHAnsi" w:hAnsiTheme="minorHAnsi" w:cstheme="minorHAnsi"/>
                <w:bCs/>
              </w:rPr>
              <w:t>ROZDZIAŁ 6 SZCZEGÓŁOWE PROCEDURY OCENY PROJEKTÓW POZAKONKURSOWYCH/6.</w:t>
            </w:r>
            <w:r>
              <w:rPr>
                <w:rFonts w:asciiTheme="minorHAnsi" w:hAnsiTheme="minorHAnsi" w:cstheme="minorHAnsi"/>
                <w:bCs/>
              </w:rPr>
              <w:t>6</w:t>
            </w:r>
            <w:r w:rsidRPr="00C57BE4">
              <w:rPr>
                <w:rFonts w:asciiTheme="minorHAnsi" w:hAnsiTheme="minorHAnsi" w:cstheme="minorHAnsi"/>
                <w:bCs/>
              </w:rPr>
              <w:t xml:space="preserve"> UMOWA O DOFINANSOWANIE/DECYZJA O DOFINANSOWANIU /pkt </w:t>
            </w:r>
            <w:r>
              <w:rPr>
                <w:rFonts w:asciiTheme="minorHAnsi" w:hAnsiTheme="minorHAnsi" w:cstheme="minorHAnsi"/>
                <w:bCs/>
              </w:rPr>
              <w:t>14</w:t>
            </w:r>
          </w:p>
        </w:tc>
        <w:tc>
          <w:tcPr>
            <w:tcW w:w="4365" w:type="dxa"/>
          </w:tcPr>
          <w:p w:rsidR="004F62A3" w:rsidRPr="00C57BE4" w:rsidRDefault="004F62A3" w:rsidP="004F62A3">
            <w:pPr>
              <w:pStyle w:val="Default"/>
              <w:rPr>
                <w:bCs/>
                <w:iCs/>
              </w:rPr>
            </w:pPr>
            <w:r w:rsidRPr="00C57BE4">
              <w:rPr>
                <w:bCs/>
                <w:iCs/>
              </w:rPr>
              <w:t xml:space="preserve">Aktualizacja wniosku, o której mowa w pkt 13 nie może prowadzić do </w:t>
            </w:r>
            <w:r w:rsidRPr="00C57BE4">
              <w:rPr>
                <w:b/>
                <w:bCs/>
                <w:iCs/>
              </w:rPr>
              <w:t>istotnej modyfikacji wniosku.</w:t>
            </w:r>
          </w:p>
          <w:p w:rsidR="004F62A3" w:rsidRPr="005853E4" w:rsidRDefault="004F62A3" w:rsidP="004F62A3">
            <w:pPr>
              <w:pStyle w:val="Default"/>
              <w:rPr>
                <w:rFonts w:cs="Times New Roman"/>
                <w:bCs/>
                <w:iCs/>
                <w:color w:val="auto"/>
                <w:sz w:val="22"/>
                <w:szCs w:val="22"/>
              </w:rPr>
            </w:pPr>
          </w:p>
        </w:tc>
        <w:tc>
          <w:tcPr>
            <w:tcW w:w="3856" w:type="dxa"/>
          </w:tcPr>
          <w:p w:rsidR="004F62A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w:t>
            </w:r>
          </w:p>
          <w:p w:rsidR="004F62A3" w:rsidRDefault="004F62A3" w:rsidP="004F62A3">
            <w:pPr>
              <w:autoSpaceDE w:val="0"/>
              <w:autoSpaceDN w:val="0"/>
              <w:adjustRightInd w:val="0"/>
              <w:spacing w:after="120" w:line="240" w:lineRule="auto"/>
              <w:ind w:left="33"/>
              <w:jc w:val="both"/>
              <w:rPr>
                <w:rFonts w:asciiTheme="minorHAnsi" w:hAnsiTheme="minorHAnsi" w:cstheme="minorHAnsi"/>
              </w:rPr>
            </w:pPr>
          </w:p>
          <w:p w:rsidR="004F62A3" w:rsidRPr="001F3553" w:rsidRDefault="004F62A3" w:rsidP="004F62A3">
            <w:pPr>
              <w:autoSpaceDE w:val="0"/>
              <w:autoSpaceDN w:val="0"/>
              <w:adjustRightInd w:val="0"/>
              <w:spacing w:after="120" w:line="240" w:lineRule="auto"/>
              <w:ind w:left="33"/>
              <w:jc w:val="both"/>
              <w:rPr>
                <w:rFonts w:asciiTheme="minorHAnsi" w:hAnsiTheme="minorHAnsi" w:cstheme="minorHAnsi"/>
              </w:rPr>
            </w:pPr>
            <w:r>
              <w:rPr>
                <w:rFonts w:asciiTheme="minorHAnsi" w:hAnsiTheme="minorHAnsi" w:cstheme="minorHAnsi"/>
              </w:rPr>
              <w:t>Równocześnie zmianie ulega numeracja pozostałych punktów.</w:t>
            </w:r>
          </w:p>
        </w:tc>
        <w:tc>
          <w:tcPr>
            <w:tcW w:w="3232" w:type="dxa"/>
          </w:tcPr>
          <w:p w:rsidR="004F62A3" w:rsidRPr="001F3553" w:rsidRDefault="004F62A3" w:rsidP="004F62A3">
            <w:pPr>
              <w:autoSpaceDE w:val="0"/>
              <w:autoSpaceDN w:val="0"/>
              <w:adjustRightInd w:val="0"/>
              <w:spacing w:after="0" w:line="240" w:lineRule="auto"/>
              <w:rPr>
                <w:rFonts w:asciiTheme="minorHAnsi" w:hAnsiTheme="minorHAnsi" w:cstheme="minorHAnsi"/>
              </w:rPr>
            </w:pPr>
            <w:r>
              <w:rPr>
                <w:rFonts w:asciiTheme="minorHAnsi" w:hAnsiTheme="minorHAnsi" w:cstheme="minorHAnsi"/>
              </w:rPr>
              <w:t>Dostosowanie zapisów do znowelizowanej ustawy o zasadach  r</w:t>
            </w:r>
            <w:r w:rsidRPr="006E6E26">
              <w:rPr>
                <w:rFonts w:asciiTheme="minorHAnsi" w:hAnsiTheme="minorHAnsi" w:cstheme="minorHAnsi"/>
              </w:rPr>
              <w:t>ealizacji programów w zakresie polityki spójności finansowanych w perspektywie finansowej 2014-2020.</w:t>
            </w:r>
          </w:p>
        </w:tc>
      </w:tr>
      <w:tr w:rsidR="004A293C" w:rsidRPr="00D972AC" w:rsidTr="00652CEE">
        <w:trPr>
          <w:trHeight w:val="567"/>
        </w:trPr>
        <w:tc>
          <w:tcPr>
            <w:tcW w:w="596" w:type="dxa"/>
          </w:tcPr>
          <w:p w:rsidR="004A293C" w:rsidRPr="003E1539" w:rsidRDefault="004A293C" w:rsidP="004A293C">
            <w:pPr>
              <w:pStyle w:val="Akapitzlist"/>
              <w:numPr>
                <w:ilvl w:val="0"/>
                <w:numId w:val="2"/>
              </w:numPr>
              <w:spacing w:after="0" w:line="240" w:lineRule="auto"/>
              <w:ind w:left="473"/>
              <w:rPr>
                <w:rFonts w:asciiTheme="minorHAnsi" w:hAnsiTheme="minorHAnsi" w:cstheme="minorHAnsi"/>
              </w:rPr>
            </w:pPr>
          </w:p>
        </w:tc>
        <w:tc>
          <w:tcPr>
            <w:tcW w:w="3148" w:type="dxa"/>
          </w:tcPr>
          <w:p w:rsidR="004A293C" w:rsidRPr="00E27347" w:rsidRDefault="004A293C" w:rsidP="004A293C">
            <w:pPr>
              <w:spacing w:after="0" w:line="240" w:lineRule="auto"/>
              <w:rPr>
                <w:rFonts w:asciiTheme="minorHAnsi" w:hAnsiTheme="minorHAnsi" w:cstheme="minorHAnsi"/>
                <w:bCs/>
                <w:lang w:val="x-none"/>
              </w:rPr>
            </w:pPr>
            <w:r w:rsidRPr="00C57BE4">
              <w:rPr>
                <w:rFonts w:asciiTheme="minorHAnsi" w:hAnsiTheme="minorHAnsi" w:cstheme="minorHAnsi"/>
                <w:bCs/>
              </w:rPr>
              <w:t>ROZDZIAŁ 6 SZCZEGÓŁOWE PROCEDURY OCENY PROJEKTÓW POZAKONKURSOWYCH/6.</w:t>
            </w:r>
            <w:r>
              <w:rPr>
                <w:rFonts w:asciiTheme="minorHAnsi" w:hAnsiTheme="minorHAnsi" w:cstheme="minorHAnsi"/>
                <w:bCs/>
              </w:rPr>
              <w:t>6</w:t>
            </w:r>
            <w:r w:rsidRPr="00C57BE4">
              <w:rPr>
                <w:rFonts w:asciiTheme="minorHAnsi" w:hAnsiTheme="minorHAnsi" w:cstheme="minorHAnsi"/>
                <w:bCs/>
              </w:rPr>
              <w:t xml:space="preserve"> UMOWA O DOFINANSOWANIE/DECYZJA O DOFINANSOWANIU /pkt </w:t>
            </w:r>
            <w:r>
              <w:rPr>
                <w:rFonts w:asciiTheme="minorHAnsi" w:hAnsiTheme="minorHAnsi" w:cstheme="minorHAnsi"/>
                <w:bCs/>
              </w:rPr>
              <w:t>14</w:t>
            </w:r>
          </w:p>
        </w:tc>
        <w:tc>
          <w:tcPr>
            <w:tcW w:w="4365" w:type="dxa"/>
          </w:tcPr>
          <w:p w:rsidR="004A293C" w:rsidRPr="00D972AC" w:rsidRDefault="004A293C" w:rsidP="004A293C">
            <w:pPr>
              <w:pStyle w:val="Default"/>
              <w:rPr>
                <w:rFonts w:asciiTheme="minorHAnsi" w:hAnsiTheme="minorHAnsi" w:cstheme="minorHAnsi"/>
                <w:color w:val="auto"/>
                <w:sz w:val="22"/>
                <w:szCs w:val="22"/>
              </w:rPr>
            </w:pPr>
            <w:r w:rsidRPr="00C57BE4">
              <w:rPr>
                <w:rFonts w:asciiTheme="minorHAnsi" w:hAnsiTheme="minorHAnsi" w:cstheme="minorHAnsi"/>
                <w:color w:val="auto"/>
                <w:sz w:val="22"/>
                <w:szCs w:val="22"/>
              </w:rPr>
              <w:t xml:space="preserve">Jeżeli wnioskodawca nie dokonał wskazanej w wezwaniu aktualizacji w wyznaczonym terminie, dokonał innej aktualizacji wniosku niż objęta wezwaniem, </w:t>
            </w:r>
            <w:r w:rsidRPr="00C57BE4">
              <w:rPr>
                <w:rFonts w:asciiTheme="minorHAnsi" w:hAnsiTheme="minorHAnsi" w:cstheme="minorHAnsi"/>
                <w:b/>
                <w:color w:val="auto"/>
                <w:sz w:val="22"/>
                <w:szCs w:val="22"/>
              </w:rPr>
              <w:t>lub aktualizacji, która prowadzi do istotnej modyfikacji wniosku,</w:t>
            </w:r>
            <w:r w:rsidRPr="00C57BE4">
              <w:rPr>
                <w:rFonts w:asciiTheme="minorHAnsi" w:hAnsiTheme="minorHAnsi" w:cstheme="minorHAnsi"/>
                <w:color w:val="auto"/>
                <w:sz w:val="22"/>
                <w:szCs w:val="22"/>
              </w:rPr>
              <w:t xml:space="preserve"> fakt ten jest podstawą odmowy podpisania umowy/podjęcia decyzji o dofinansowaniu </w:t>
            </w:r>
            <w:r w:rsidRPr="00C57BE4">
              <w:rPr>
                <w:rFonts w:asciiTheme="minorHAnsi" w:hAnsiTheme="minorHAnsi" w:cstheme="minorHAnsi"/>
                <w:bCs/>
                <w:color w:val="auto"/>
                <w:sz w:val="22"/>
                <w:szCs w:val="22"/>
              </w:rPr>
              <w:t>i rozpoczęcia procedury związanej z wykreśleniem projektu z WZPP</w:t>
            </w:r>
            <w:r w:rsidRPr="00C57BE4">
              <w:rPr>
                <w:rFonts w:asciiTheme="minorHAnsi" w:hAnsiTheme="minorHAnsi" w:cstheme="minorHAnsi"/>
                <w:color w:val="auto"/>
                <w:sz w:val="22"/>
                <w:szCs w:val="22"/>
              </w:rPr>
              <w:t>.</w:t>
            </w:r>
          </w:p>
        </w:tc>
        <w:tc>
          <w:tcPr>
            <w:tcW w:w="3856" w:type="dxa"/>
          </w:tcPr>
          <w:p w:rsidR="004A293C" w:rsidRPr="00C57BE4" w:rsidRDefault="004A293C" w:rsidP="004A293C">
            <w:pPr>
              <w:autoSpaceDE w:val="0"/>
              <w:autoSpaceDN w:val="0"/>
              <w:adjustRightInd w:val="0"/>
              <w:spacing w:after="120" w:line="240" w:lineRule="auto"/>
              <w:rPr>
                <w:rFonts w:asciiTheme="minorHAnsi" w:hAnsiTheme="minorHAnsi" w:cstheme="minorHAnsi"/>
                <w:bCs/>
              </w:rPr>
            </w:pPr>
            <w:r w:rsidRPr="00C57BE4">
              <w:rPr>
                <w:rFonts w:asciiTheme="minorHAnsi" w:hAnsiTheme="minorHAnsi" w:cstheme="minorHAnsi"/>
              </w:rPr>
              <w:t xml:space="preserve">Jeżeli wnioskodawca nie dokonał wskazanej w wezwaniu aktualizacji w wyznaczonym terminie, dokonał innej aktualizacji wniosku niż objęta wezwaniem, fakt ten jest podstawą odmowy podpisania umowy/podjęcia decyzji o dofinansowaniu </w:t>
            </w:r>
            <w:r w:rsidRPr="00C57BE4">
              <w:rPr>
                <w:rFonts w:asciiTheme="minorHAnsi" w:hAnsiTheme="minorHAnsi" w:cstheme="minorHAnsi"/>
                <w:bCs/>
              </w:rPr>
              <w:t>i rozpoczęcia procedury związanej z wykreśleniem projektu z WZPP</w:t>
            </w:r>
            <w:r w:rsidRPr="00C57BE4">
              <w:rPr>
                <w:rFonts w:asciiTheme="minorHAnsi" w:hAnsiTheme="minorHAnsi" w:cstheme="minorHAnsi"/>
              </w:rPr>
              <w:t>.</w:t>
            </w:r>
          </w:p>
          <w:p w:rsidR="004A293C" w:rsidRPr="00D972AC" w:rsidRDefault="004A293C" w:rsidP="004A293C">
            <w:pPr>
              <w:autoSpaceDE w:val="0"/>
              <w:autoSpaceDN w:val="0"/>
              <w:adjustRightInd w:val="0"/>
              <w:spacing w:after="120" w:line="240" w:lineRule="auto"/>
              <w:ind w:left="33"/>
              <w:jc w:val="both"/>
              <w:rPr>
                <w:rFonts w:asciiTheme="minorHAnsi" w:hAnsiTheme="minorHAnsi" w:cstheme="minorHAnsi"/>
              </w:rPr>
            </w:pPr>
          </w:p>
        </w:tc>
        <w:tc>
          <w:tcPr>
            <w:tcW w:w="3232" w:type="dxa"/>
          </w:tcPr>
          <w:p w:rsidR="004A293C" w:rsidRPr="00D972AC" w:rsidRDefault="004A293C" w:rsidP="004A293C">
            <w:pPr>
              <w:autoSpaceDE w:val="0"/>
              <w:autoSpaceDN w:val="0"/>
              <w:adjustRightInd w:val="0"/>
              <w:spacing w:after="0" w:line="240" w:lineRule="auto"/>
              <w:rPr>
                <w:rFonts w:asciiTheme="minorHAnsi" w:hAnsiTheme="minorHAnsi" w:cstheme="minorHAnsi"/>
              </w:rPr>
            </w:pPr>
            <w:r w:rsidRPr="00C57BE4">
              <w:rPr>
                <w:rFonts w:asciiTheme="minorHAnsi" w:hAnsiTheme="minorHAnsi" w:cstheme="minorHAnsi"/>
              </w:rPr>
              <w:t>Dostosowanie zapisów do znowelizowanej ustawy o zasadach  realizacji programów w zakresie polityki spójności finansowanych w perspektywie finansowej 2014-2020.</w:t>
            </w:r>
          </w:p>
        </w:tc>
      </w:tr>
      <w:tr w:rsidR="0070130E" w:rsidRPr="00D972AC" w:rsidTr="00652CEE">
        <w:trPr>
          <w:trHeight w:val="567"/>
        </w:trPr>
        <w:tc>
          <w:tcPr>
            <w:tcW w:w="596" w:type="dxa"/>
          </w:tcPr>
          <w:p w:rsidR="0070130E" w:rsidRPr="003E1539" w:rsidRDefault="0070130E" w:rsidP="0070130E">
            <w:pPr>
              <w:pStyle w:val="Akapitzlist"/>
              <w:numPr>
                <w:ilvl w:val="0"/>
                <w:numId w:val="2"/>
              </w:numPr>
              <w:spacing w:after="0" w:line="240" w:lineRule="auto"/>
              <w:ind w:left="473"/>
              <w:rPr>
                <w:rFonts w:asciiTheme="minorHAnsi" w:hAnsiTheme="minorHAnsi" w:cstheme="minorHAnsi"/>
              </w:rPr>
            </w:pPr>
          </w:p>
        </w:tc>
        <w:tc>
          <w:tcPr>
            <w:tcW w:w="3148" w:type="dxa"/>
          </w:tcPr>
          <w:p w:rsidR="0070130E" w:rsidRPr="00512620" w:rsidRDefault="0070130E" w:rsidP="0070130E">
            <w:pPr>
              <w:pStyle w:val="Nagwek1"/>
              <w:spacing w:before="0"/>
              <w:rPr>
                <w:rFonts w:asciiTheme="minorHAnsi" w:hAnsiTheme="minorHAnsi" w:cstheme="minorHAnsi"/>
                <w:b w:val="0"/>
                <w:sz w:val="22"/>
                <w:szCs w:val="22"/>
              </w:rPr>
            </w:pPr>
            <w:r w:rsidRPr="00512620">
              <w:rPr>
                <w:rFonts w:asciiTheme="minorHAnsi" w:hAnsiTheme="minorHAnsi" w:cstheme="minorHAnsi"/>
                <w:b w:val="0"/>
                <w:sz w:val="22"/>
                <w:szCs w:val="22"/>
              </w:rPr>
              <w:t xml:space="preserve">ZAŁĄCZNIK NR 12a – WZÓR </w:t>
            </w:r>
            <w:r w:rsidR="00512620" w:rsidRPr="00512620">
              <w:rPr>
                <w:rFonts w:asciiTheme="minorHAnsi" w:hAnsiTheme="minorHAnsi" w:cstheme="minorHAnsi"/>
                <w:b w:val="0"/>
                <w:sz w:val="22"/>
                <w:szCs w:val="22"/>
              </w:rPr>
              <w:t>POROZUMIENIA</w:t>
            </w:r>
          </w:p>
        </w:tc>
        <w:tc>
          <w:tcPr>
            <w:tcW w:w="4365" w:type="dxa"/>
          </w:tcPr>
          <w:p w:rsidR="0070130E" w:rsidRPr="00512620" w:rsidRDefault="0070130E" w:rsidP="0070130E">
            <w:pPr>
              <w:autoSpaceDE w:val="0"/>
              <w:autoSpaceDN w:val="0"/>
              <w:adjustRightInd w:val="0"/>
              <w:spacing w:after="0" w:line="240" w:lineRule="auto"/>
              <w:rPr>
                <w:rFonts w:asciiTheme="minorHAnsi" w:hAnsiTheme="minorHAnsi" w:cstheme="minorHAnsi"/>
              </w:rPr>
            </w:pPr>
            <w:r w:rsidRPr="00512620">
              <w:rPr>
                <w:rFonts w:asciiTheme="minorHAnsi" w:hAnsiTheme="minorHAnsi" w:cstheme="minorHAnsi"/>
              </w:rPr>
              <w:t>-</w:t>
            </w:r>
          </w:p>
        </w:tc>
        <w:tc>
          <w:tcPr>
            <w:tcW w:w="3856" w:type="dxa"/>
          </w:tcPr>
          <w:p w:rsidR="0070130E" w:rsidRPr="00512620" w:rsidRDefault="0070130E" w:rsidP="0070130E">
            <w:pPr>
              <w:autoSpaceDE w:val="0"/>
              <w:autoSpaceDN w:val="0"/>
              <w:adjustRightInd w:val="0"/>
              <w:spacing w:after="0" w:line="240" w:lineRule="auto"/>
              <w:rPr>
                <w:rFonts w:asciiTheme="minorHAnsi" w:hAnsiTheme="minorHAnsi" w:cstheme="minorHAnsi"/>
              </w:rPr>
            </w:pPr>
            <w:r w:rsidRPr="00512620">
              <w:rPr>
                <w:rFonts w:asciiTheme="minorHAnsi" w:hAnsiTheme="minorHAnsi" w:cstheme="minorHAnsi"/>
              </w:rPr>
              <w:t xml:space="preserve">Wprowadzono wzór </w:t>
            </w:r>
            <w:r w:rsidR="00512620" w:rsidRPr="00512620">
              <w:rPr>
                <w:rFonts w:asciiTheme="minorHAnsi" w:hAnsiTheme="minorHAnsi" w:cstheme="minorHAnsi"/>
              </w:rPr>
              <w:t>porozumienia</w:t>
            </w:r>
            <w:r w:rsidRPr="00512620">
              <w:rPr>
                <w:rFonts w:asciiTheme="minorHAnsi" w:hAnsiTheme="minorHAnsi" w:cstheme="minorHAnsi"/>
              </w:rPr>
              <w:t xml:space="preserve"> jako załącznik nr 12a.</w:t>
            </w:r>
          </w:p>
        </w:tc>
        <w:tc>
          <w:tcPr>
            <w:tcW w:w="3232" w:type="dxa"/>
          </w:tcPr>
          <w:p w:rsidR="0070130E" w:rsidRPr="0070130E" w:rsidRDefault="00512620" w:rsidP="0070130E">
            <w:pPr>
              <w:autoSpaceDE w:val="0"/>
              <w:autoSpaceDN w:val="0"/>
              <w:adjustRightInd w:val="0"/>
              <w:spacing w:after="0" w:line="240" w:lineRule="auto"/>
              <w:rPr>
                <w:rFonts w:asciiTheme="minorHAnsi" w:hAnsiTheme="minorHAnsi" w:cstheme="minorHAnsi"/>
                <w:color w:val="FF0000"/>
              </w:rPr>
            </w:pPr>
            <w:r>
              <w:rPr>
                <w:rFonts w:asciiTheme="minorHAnsi" w:hAnsiTheme="minorHAnsi" w:cstheme="minorHAnsi"/>
              </w:rPr>
              <w:t xml:space="preserve">Wprowadzenie porozumienia mającego zastosowanie w przypadku dofinasowania projektów państwowych jednostek budżetowych.  </w:t>
            </w:r>
          </w:p>
        </w:tc>
      </w:tr>
      <w:tr w:rsidR="0070130E" w:rsidRPr="00D972AC" w:rsidTr="00652CEE">
        <w:trPr>
          <w:trHeight w:val="567"/>
        </w:trPr>
        <w:tc>
          <w:tcPr>
            <w:tcW w:w="596" w:type="dxa"/>
          </w:tcPr>
          <w:p w:rsidR="0070130E" w:rsidRPr="003E1539" w:rsidRDefault="0070130E" w:rsidP="0070130E">
            <w:pPr>
              <w:pStyle w:val="Akapitzlist"/>
              <w:numPr>
                <w:ilvl w:val="0"/>
                <w:numId w:val="2"/>
              </w:numPr>
              <w:spacing w:after="0" w:line="240" w:lineRule="auto"/>
              <w:ind w:left="473"/>
              <w:rPr>
                <w:rFonts w:asciiTheme="minorHAnsi" w:hAnsiTheme="minorHAnsi" w:cstheme="minorHAnsi"/>
              </w:rPr>
            </w:pPr>
          </w:p>
        </w:tc>
        <w:tc>
          <w:tcPr>
            <w:tcW w:w="3148" w:type="dxa"/>
          </w:tcPr>
          <w:p w:rsidR="0070130E" w:rsidRPr="00BB6A43" w:rsidRDefault="0070130E" w:rsidP="0070130E">
            <w:pPr>
              <w:pStyle w:val="Nagwek1"/>
              <w:spacing w:before="0"/>
              <w:rPr>
                <w:rFonts w:asciiTheme="minorHAnsi" w:hAnsiTheme="minorHAnsi" w:cstheme="minorHAnsi"/>
                <w:b w:val="0"/>
                <w:sz w:val="22"/>
                <w:szCs w:val="22"/>
              </w:rPr>
            </w:pPr>
            <w:r w:rsidRPr="00BB6A43">
              <w:rPr>
                <w:rFonts w:asciiTheme="minorHAnsi" w:hAnsiTheme="minorHAnsi" w:cstheme="minorHAnsi"/>
                <w:b w:val="0"/>
                <w:sz w:val="22"/>
                <w:szCs w:val="22"/>
              </w:rPr>
              <w:t xml:space="preserve">ZAŁĄCZNIK NR </w:t>
            </w:r>
            <w:r>
              <w:rPr>
                <w:rFonts w:asciiTheme="minorHAnsi" w:hAnsiTheme="minorHAnsi" w:cstheme="minorHAnsi"/>
                <w:b w:val="0"/>
                <w:sz w:val="22"/>
                <w:szCs w:val="22"/>
              </w:rPr>
              <w:t>12b</w:t>
            </w:r>
            <w:r w:rsidRPr="00BB6A43">
              <w:rPr>
                <w:rFonts w:asciiTheme="minorHAnsi" w:hAnsiTheme="minorHAnsi" w:cstheme="minorHAnsi"/>
                <w:b w:val="0"/>
                <w:sz w:val="22"/>
                <w:szCs w:val="22"/>
              </w:rPr>
              <w:t xml:space="preserve"> – </w:t>
            </w:r>
            <w:r>
              <w:rPr>
                <w:rFonts w:asciiTheme="minorHAnsi" w:hAnsiTheme="minorHAnsi" w:cstheme="minorHAnsi"/>
                <w:b w:val="0"/>
                <w:sz w:val="22"/>
                <w:szCs w:val="22"/>
              </w:rPr>
              <w:t>WZÓR ZOBOWIĄZANIA</w:t>
            </w:r>
          </w:p>
        </w:tc>
        <w:tc>
          <w:tcPr>
            <w:tcW w:w="4365" w:type="dxa"/>
          </w:tcPr>
          <w:p w:rsidR="0070130E" w:rsidRPr="00BB6A43" w:rsidRDefault="0070130E" w:rsidP="0070130E">
            <w:pPr>
              <w:autoSpaceDE w:val="0"/>
              <w:autoSpaceDN w:val="0"/>
              <w:adjustRightInd w:val="0"/>
              <w:spacing w:after="0" w:line="240" w:lineRule="auto"/>
              <w:rPr>
                <w:rFonts w:asciiTheme="minorHAnsi" w:hAnsiTheme="minorHAnsi" w:cstheme="minorHAnsi"/>
              </w:rPr>
            </w:pPr>
            <w:r>
              <w:rPr>
                <w:rFonts w:asciiTheme="minorHAnsi" w:hAnsiTheme="minorHAnsi" w:cstheme="minorHAnsi"/>
              </w:rPr>
              <w:t>-</w:t>
            </w:r>
          </w:p>
        </w:tc>
        <w:tc>
          <w:tcPr>
            <w:tcW w:w="3856" w:type="dxa"/>
          </w:tcPr>
          <w:p w:rsidR="0070130E" w:rsidRPr="00BB6A43" w:rsidRDefault="0070130E" w:rsidP="0070130E">
            <w:pPr>
              <w:autoSpaceDE w:val="0"/>
              <w:autoSpaceDN w:val="0"/>
              <w:adjustRightInd w:val="0"/>
              <w:spacing w:after="0" w:line="240" w:lineRule="auto"/>
              <w:rPr>
                <w:rFonts w:asciiTheme="minorHAnsi" w:hAnsiTheme="minorHAnsi" w:cstheme="minorHAnsi"/>
              </w:rPr>
            </w:pPr>
            <w:r>
              <w:rPr>
                <w:rFonts w:asciiTheme="minorHAnsi" w:hAnsiTheme="minorHAnsi" w:cstheme="minorHAnsi"/>
              </w:rPr>
              <w:t>Wprowadzono wzór zobowiązania jako załącznik nr 12b.</w:t>
            </w:r>
          </w:p>
        </w:tc>
        <w:tc>
          <w:tcPr>
            <w:tcW w:w="3232" w:type="dxa"/>
          </w:tcPr>
          <w:p w:rsidR="0070130E" w:rsidRDefault="0070130E" w:rsidP="0070130E">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Wprowadzenie zobowiązania mającego zastosowanie w przypadku dofinasowania projektów własnych.  </w:t>
            </w:r>
          </w:p>
        </w:tc>
      </w:tr>
      <w:tr w:rsidR="0070130E" w:rsidRPr="00D972AC" w:rsidTr="00F45F78">
        <w:trPr>
          <w:trHeight w:val="567"/>
        </w:trPr>
        <w:tc>
          <w:tcPr>
            <w:tcW w:w="596" w:type="dxa"/>
          </w:tcPr>
          <w:p w:rsidR="0070130E" w:rsidRPr="003E1539" w:rsidRDefault="0070130E" w:rsidP="0070130E">
            <w:pPr>
              <w:pStyle w:val="Akapitzlist"/>
              <w:numPr>
                <w:ilvl w:val="0"/>
                <w:numId w:val="2"/>
              </w:numPr>
              <w:spacing w:after="0" w:line="240" w:lineRule="auto"/>
              <w:ind w:left="473"/>
              <w:rPr>
                <w:rFonts w:asciiTheme="minorHAnsi" w:hAnsiTheme="minorHAnsi" w:cstheme="minorHAnsi"/>
              </w:rPr>
            </w:pPr>
          </w:p>
        </w:tc>
        <w:tc>
          <w:tcPr>
            <w:tcW w:w="3148" w:type="dxa"/>
          </w:tcPr>
          <w:p w:rsidR="0070130E" w:rsidRDefault="0070130E" w:rsidP="0070130E">
            <w:pPr>
              <w:pStyle w:val="Nagwek1"/>
              <w:spacing w:before="0"/>
              <w:rPr>
                <w:rFonts w:asciiTheme="minorHAnsi" w:hAnsiTheme="minorHAnsi" w:cstheme="minorHAnsi"/>
                <w:b w:val="0"/>
                <w:sz w:val="22"/>
                <w:szCs w:val="22"/>
              </w:rPr>
            </w:pPr>
            <w:r w:rsidRPr="00BB6A43">
              <w:rPr>
                <w:rFonts w:asciiTheme="minorHAnsi" w:hAnsiTheme="minorHAnsi" w:cstheme="minorHAnsi"/>
                <w:b w:val="0"/>
                <w:sz w:val="22"/>
                <w:szCs w:val="22"/>
              </w:rPr>
              <w:t xml:space="preserve">ZAŁĄCZNIK NR </w:t>
            </w:r>
            <w:r>
              <w:rPr>
                <w:rFonts w:asciiTheme="minorHAnsi" w:hAnsiTheme="minorHAnsi" w:cstheme="minorHAnsi"/>
                <w:b w:val="0"/>
                <w:sz w:val="22"/>
                <w:szCs w:val="22"/>
              </w:rPr>
              <w:t>14.1</w:t>
            </w:r>
            <w:r w:rsidR="004A07BB">
              <w:rPr>
                <w:rFonts w:asciiTheme="minorHAnsi" w:hAnsiTheme="minorHAnsi" w:cstheme="minorHAnsi"/>
                <w:b w:val="0"/>
                <w:sz w:val="22"/>
                <w:szCs w:val="22"/>
              </w:rPr>
              <w:t>.1</w:t>
            </w:r>
            <w:r w:rsidRPr="00BB6A43">
              <w:rPr>
                <w:rFonts w:asciiTheme="minorHAnsi" w:hAnsiTheme="minorHAnsi" w:cstheme="minorHAnsi"/>
                <w:b w:val="0"/>
                <w:sz w:val="22"/>
                <w:szCs w:val="22"/>
              </w:rPr>
              <w:t xml:space="preserve"> – FORMULARZ DO PRZEPROWADZENIA ANALIZY EKONOMICZNO-FINANSOWEJ</w:t>
            </w:r>
          </w:p>
        </w:tc>
        <w:tc>
          <w:tcPr>
            <w:tcW w:w="8221" w:type="dxa"/>
            <w:gridSpan w:val="2"/>
          </w:tcPr>
          <w:p w:rsidR="0070130E" w:rsidRDefault="0070130E" w:rsidP="0070130E">
            <w:pPr>
              <w:autoSpaceDE w:val="0"/>
              <w:autoSpaceDN w:val="0"/>
              <w:adjustRightInd w:val="0"/>
              <w:spacing w:after="0" w:line="240" w:lineRule="auto"/>
              <w:rPr>
                <w:rFonts w:asciiTheme="minorHAnsi" w:hAnsiTheme="minorHAnsi" w:cstheme="minorHAnsi"/>
              </w:rPr>
            </w:pPr>
            <w:r w:rsidRPr="00BB6A43">
              <w:rPr>
                <w:rFonts w:asciiTheme="minorHAnsi" w:hAnsiTheme="minorHAnsi" w:cstheme="minorHAnsi"/>
              </w:rPr>
              <w:t>Formularz do przeprowadzenia analizy ekonomiczno-finansowej</w:t>
            </w:r>
            <w:r>
              <w:rPr>
                <w:rFonts w:asciiTheme="minorHAnsi" w:hAnsiTheme="minorHAnsi" w:cstheme="minorHAnsi"/>
              </w:rPr>
              <w:t xml:space="preserve"> </w:t>
            </w:r>
            <w:r w:rsidRPr="00BB6A43">
              <w:rPr>
                <w:rFonts w:asciiTheme="minorHAnsi" w:hAnsiTheme="minorHAnsi" w:cstheme="minorHAnsi"/>
              </w:rPr>
              <w:t>otrzymuje brzmienie jak w załączniku nr 1</w:t>
            </w:r>
            <w:r>
              <w:rPr>
                <w:rFonts w:asciiTheme="minorHAnsi" w:hAnsiTheme="minorHAnsi" w:cstheme="minorHAnsi"/>
              </w:rPr>
              <w:t>4.1</w:t>
            </w:r>
            <w:r w:rsidRPr="00BB6A43">
              <w:rPr>
                <w:rFonts w:asciiTheme="minorHAnsi" w:hAnsiTheme="minorHAnsi" w:cstheme="minorHAnsi"/>
              </w:rPr>
              <w:t>.</w:t>
            </w:r>
            <w:r w:rsidR="004A07BB">
              <w:rPr>
                <w:rFonts w:asciiTheme="minorHAnsi" w:hAnsiTheme="minorHAnsi" w:cstheme="minorHAnsi"/>
              </w:rPr>
              <w:t>1.</w:t>
            </w:r>
            <w:bookmarkStart w:id="6" w:name="_GoBack"/>
            <w:bookmarkEnd w:id="6"/>
          </w:p>
        </w:tc>
        <w:tc>
          <w:tcPr>
            <w:tcW w:w="3232" w:type="dxa"/>
          </w:tcPr>
          <w:p w:rsidR="0070130E" w:rsidRPr="000F3D85" w:rsidRDefault="0070130E" w:rsidP="0070130E">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Wprowadzenie aktualnego wzoru formularza do przeprowadzenia analizy ekonomiczno-finansowej.  </w:t>
            </w:r>
          </w:p>
        </w:tc>
      </w:tr>
      <w:tr w:rsidR="0070130E" w:rsidRPr="00D972AC" w:rsidTr="00F45F78">
        <w:trPr>
          <w:trHeight w:val="567"/>
        </w:trPr>
        <w:tc>
          <w:tcPr>
            <w:tcW w:w="596" w:type="dxa"/>
          </w:tcPr>
          <w:p w:rsidR="0070130E" w:rsidRPr="003E1539" w:rsidRDefault="0070130E" w:rsidP="0070130E">
            <w:pPr>
              <w:pStyle w:val="Akapitzlist"/>
              <w:numPr>
                <w:ilvl w:val="0"/>
                <w:numId w:val="2"/>
              </w:numPr>
              <w:spacing w:after="0" w:line="240" w:lineRule="auto"/>
              <w:ind w:left="473"/>
              <w:rPr>
                <w:rFonts w:asciiTheme="minorHAnsi" w:hAnsiTheme="minorHAnsi" w:cstheme="minorHAnsi"/>
              </w:rPr>
            </w:pPr>
          </w:p>
        </w:tc>
        <w:tc>
          <w:tcPr>
            <w:tcW w:w="3148" w:type="dxa"/>
          </w:tcPr>
          <w:p w:rsidR="0070130E" w:rsidRDefault="0070130E" w:rsidP="0070130E">
            <w:pPr>
              <w:pStyle w:val="Nagwek1"/>
              <w:spacing w:before="0"/>
              <w:rPr>
                <w:rFonts w:asciiTheme="minorHAnsi" w:hAnsiTheme="minorHAnsi" w:cstheme="minorHAnsi"/>
                <w:b w:val="0"/>
                <w:sz w:val="22"/>
                <w:szCs w:val="22"/>
              </w:rPr>
            </w:pPr>
            <w:r w:rsidRPr="00BB6A43">
              <w:rPr>
                <w:rFonts w:asciiTheme="minorHAnsi" w:hAnsiTheme="minorHAnsi" w:cstheme="minorHAnsi"/>
                <w:b w:val="0"/>
                <w:sz w:val="22"/>
                <w:szCs w:val="22"/>
              </w:rPr>
              <w:t xml:space="preserve">ZAŁĄCZNIK NR </w:t>
            </w:r>
            <w:r>
              <w:rPr>
                <w:rFonts w:asciiTheme="minorHAnsi" w:hAnsiTheme="minorHAnsi" w:cstheme="minorHAnsi"/>
                <w:b w:val="0"/>
                <w:sz w:val="22"/>
                <w:szCs w:val="22"/>
              </w:rPr>
              <w:t>17</w:t>
            </w:r>
            <w:r w:rsidRPr="00BB6A43">
              <w:rPr>
                <w:rFonts w:asciiTheme="minorHAnsi" w:hAnsiTheme="minorHAnsi" w:cstheme="minorHAnsi"/>
                <w:b w:val="0"/>
                <w:sz w:val="22"/>
                <w:szCs w:val="22"/>
              </w:rPr>
              <w:t xml:space="preserve"> – </w:t>
            </w:r>
            <w:r w:rsidRPr="00B95FD2">
              <w:rPr>
                <w:rFonts w:asciiTheme="minorHAnsi" w:hAnsiTheme="minorHAnsi" w:cstheme="minorHAnsi"/>
                <w:b w:val="0"/>
                <w:sz w:val="22"/>
                <w:szCs w:val="22"/>
              </w:rPr>
              <w:t>OBOWIĄZKI INFORMACYJNE BENEFICJENTA</w:t>
            </w:r>
          </w:p>
        </w:tc>
        <w:tc>
          <w:tcPr>
            <w:tcW w:w="8221" w:type="dxa"/>
            <w:gridSpan w:val="2"/>
          </w:tcPr>
          <w:p w:rsidR="0070130E" w:rsidRDefault="0070130E" w:rsidP="0070130E">
            <w:pPr>
              <w:autoSpaceDE w:val="0"/>
              <w:autoSpaceDN w:val="0"/>
              <w:adjustRightInd w:val="0"/>
              <w:spacing w:after="0" w:line="240" w:lineRule="auto"/>
              <w:rPr>
                <w:rFonts w:asciiTheme="minorHAnsi" w:hAnsiTheme="minorHAnsi" w:cstheme="minorHAnsi"/>
              </w:rPr>
            </w:pPr>
            <w:r w:rsidRPr="00B95FD2">
              <w:rPr>
                <w:rFonts w:asciiTheme="minorHAnsi" w:hAnsiTheme="minorHAnsi" w:cstheme="minorHAnsi"/>
              </w:rPr>
              <w:t>Obowiązki informacyjne beneficjenta</w:t>
            </w:r>
            <w:r>
              <w:rPr>
                <w:rFonts w:asciiTheme="minorHAnsi" w:hAnsiTheme="minorHAnsi" w:cstheme="minorHAnsi"/>
              </w:rPr>
              <w:t xml:space="preserve"> </w:t>
            </w:r>
            <w:r w:rsidRPr="00BB6A43">
              <w:rPr>
                <w:rFonts w:asciiTheme="minorHAnsi" w:hAnsiTheme="minorHAnsi" w:cstheme="minorHAnsi"/>
              </w:rPr>
              <w:t>otrzymuj</w:t>
            </w:r>
            <w:r>
              <w:rPr>
                <w:rFonts w:asciiTheme="minorHAnsi" w:hAnsiTheme="minorHAnsi" w:cstheme="minorHAnsi"/>
              </w:rPr>
              <w:t>ą</w:t>
            </w:r>
            <w:r w:rsidRPr="00BB6A43">
              <w:rPr>
                <w:rFonts w:asciiTheme="minorHAnsi" w:hAnsiTheme="minorHAnsi" w:cstheme="minorHAnsi"/>
              </w:rPr>
              <w:t xml:space="preserve"> brzmienie jak w załączniku nr </w:t>
            </w:r>
            <w:r>
              <w:rPr>
                <w:rFonts w:asciiTheme="minorHAnsi" w:hAnsiTheme="minorHAnsi" w:cstheme="minorHAnsi"/>
              </w:rPr>
              <w:t>17</w:t>
            </w:r>
            <w:r w:rsidRPr="00BB6A43">
              <w:rPr>
                <w:rFonts w:asciiTheme="minorHAnsi" w:hAnsiTheme="minorHAnsi" w:cstheme="minorHAnsi"/>
              </w:rPr>
              <w:t>.</w:t>
            </w:r>
          </w:p>
        </w:tc>
        <w:tc>
          <w:tcPr>
            <w:tcW w:w="3232" w:type="dxa"/>
          </w:tcPr>
          <w:p w:rsidR="0070130E" w:rsidRDefault="0070130E" w:rsidP="0070130E">
            <w:pPr>
              <w:autoSpaceDE w:val="0"/>
              <w:autoSpaceDN w:val="0"/>
              <w:adjustRightInd w:val="0"/>
              <w:spacing w:after="0" w:line="240" w:lineRule="auto"/>
              <w:rPr>
                <w:rFonts w:asciiTheme="minorHAnsi" w:hAnsiTheme="minorHAnsi" w:cstheme="minorHAnsi"/>
              </w:rPr>
            </w:pPr>
            <w:r>
              <w:rPr>
                <w:rFonts w:asciiTheme="minorHAnsi" w:hAnsiTheme="minorHAnsi" w:cstheme="minorHAnsi"/>
              </w:rPr>
              <w:t>Aktualizacja treści załącznika. Pod kątem  zasad</w:t>
            </w:r>
            <w:r w:rsidRPr="004B4F66">
              <w:rPr>
                <w:rFonts w:asciiTheme="minorHAnsi" w:hAnsiTheme="minorHAnsi" w:cstheme="minorHAnsi"/>
              </w:rPr>
              <w:t xml:space="preserve"> oznaczania projektu, dokumentu i działania informacyjno-promocyjnego</w:t>
            </w:r>
            <w:r>
              <w:rPr>
                <w:rFonts w:asciiTheme="minorHAnsi" w:hAnsiTheme="minorHAnsi" w:cstheme="minorHAnsi"/>
              </w:rPr>
              <w:t xml:space="preserve">. </w:t>
            </w:r>
          </w:p>
        </w:tc>
      </w:tr>
    </w:tbl>
    <w:p w:rsidR="00831750" w:rsidRPr="005072B1" w:rsidRDefault="00831750" w:rsidP="006D1C12"/>
    <w:sectPr w:rsidR="00831750" w:rsidRPr="005072B1" w:rsidSect="00BB24AC">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1B" w:rsidRDefault="00B0741B" w:rsidP="00AE36D9">
      <w:pPr>
        <w:spacing w:after="0" w:line="240" w:lineRule="auto"/>
      </w:pPr>
      <w:r>
        <w:separator/>
      </w:r>
    </w:p>
  </w:endnote>
  <w:endnote w:type="continuationSeparator" w:id="0">
    <w:p w:rsidR="00B0741B" w:rsidRDefault="00B0741B" w:rsidP="00AE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4D" w:rsidRPr="0045264D" w:rsidRDefault="00B0741B">
    <w:pPr>
      <w:pStyle w:val="Stopka"/>
      <w:jc w:val="center"/>
      <w:rPr>
        <w:rFonts w:ascii="Arial" w:hAnsi="Arial" w:cs="Arial"/>
        <w:sz w:val="20"/>
        <w:szCs w:val="20"/>
      </w:rPr>
    </w:pPr>
    <w:sdt>
      <w:sdtPr>
        <w:rPr>
          <w:rFonts w:ascii="Arial" w:hAnsi="Arial" w:cs="Arial"/>
          <w:sz w:val="20"/>
          <w:szCs w:val="20"/>
        </w:rPr>
        <w:id w:val="-64844183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r w:rsidR="0045264D" w:rsidRPr="0045264D">
              <w:rPr>
                <w:rFonts w:ascii="Arial" w:hAnsi="Arial" w:cs="Arial"/>
                <w:sz w:val="20"/>
                <w:szCs w:val="20"/>
              </w:rPr>
              <w:t xml:space="preserve">Strona </w:t>
            </w:r>
            <w:r w:rsidR="006E3E57" w:rsidRPr="0045264D">
              <w:rPr>
                <w:rFonts w:ascii="Arial" w:hAnsi="Arial" w:cs="Arial"/>
                <w:b/>
                <w:bCs/>
                <w:sz w:val="20"/>
                <w:szCs w:val="20"/>
              </w:rPr>
              <w:fldChar w:fldCharType="begin"/>
            </w:r>
            <w:r w:rsidR="0045264D" w:rsidRPr="0045264D">
              <w:rPr>
                <w:rFonts w:ascii="Arial" w:hAnsi="Arial" w:cs="Arial"/>
                <w:b/>
                <w:bCs/>
                <w:sz w:val="20"/>
                <w:szCs w:val="20"/>
              </w:rPr>
              <w:instrText>PAGE</w:instrText>
            </w:r>
            <w:r w:rsidR="006E3E57" w:rsidRPr="0045264D">
              <w:rPr>
                <w:rFonts w:ascii="Arial" w:hAnsi="Arial" w:cs="Arial"/>
                <w:b/>
                <w:bCs/>
                <w:sz w:val="20"/>
                <w:szCs w:val="20"/>
              </w:rPr>
              <w:fldChar w:fldCharType="separate"/>
            </w:r>
            <w:r w:rsidR="004A07BB">
              <w:rPr>
                <w:rFonts w:ascii="Arial" w:hAnsi="Arial" w:cs="Arial"/>
                <w:b/>
                <w:bCs/>
                <w:noProof/>
                <w:sz w:val="20"/>
                <w:szCs w:val="20"/>
              </w:rPr>
              <w:t>9</w:t>
            </w:r>
            <w:r w:rsidR="006E3E57" w:rsidRPr="0045264D">
              <w:rPr>
                <w:rFonts w:ascii="Arial" w:hAnsi="Arial" w:cs="Arial"/>
                <w:b/>
                <w:bCs/>
                <w:sz w:val="20"/>
                <w:szCs w:val="20"/>
              </w:rPr>
              <w:fldChar w:fldCharType="end"/>
            </w:r>
            <w:r w:rsidR="0045264D" w:rsidRPr="0045264D">
              <w:rPr>
                <w:rFonts w:ascii="Arial" w:hAnsi="Arial" w:cs="Arial"/>
                <w:sz w:val="20"/>
                <w:szCs w:val="20"/>
              </w:rPr>
              <w:t xml:space="preserve"> z </w:t>
            </w:r>
            <w:r w:rsidR="006E3E57" w:rsidRPr="0045264D">
              <w:rPr>
                <w:rFonts w:ascii="Arial" w:hAnsi="Arial" w:cs="Arial"/>
                <w:b/>
                <w:bCs/>
                <w:sz w:val="20"/>
                <w:szCs w:val="20"/>
              </w:rPr>
              <w:fldChar w:fldCharType="begin"/>
            </w:r>
            <w:r w:rsidR="0045264D" w:rsidRPr="0045264D">
              <w:rPr>
                <w:rFonts w:ascii="Arial" w:hAnsi="Arial" w:cs="Arial"/>
                <w:b/>
                <w:bCs/>
                <w:sz w:val="20"/>
                <w:szCs w:val="20"/>
              </w:rPr>
              <w:instrText>NUMPAGES</w:instrText>
            </w:r>
            <w:r w:rsidR="006E3E57" w:rsidRPr="0045264D">
              <w:rPr>
                <w:rFonts w:ascii="Arial" w:hAnsi="Arial" w:cs="Arial"/>
                <w:b/>
                <w:bCs/>
                <w:sz w:val="20"/>
                <w:szCs w:val="20"/>
              </w:rPr>
              <w:fldChar w:fldCharType="separate"/>
            </w:r>
            <w:r w:rsidR="004A07BB">
              <w:rPr>
                <w:rFonts w:ascii="Arial" w:hAnsi="Arial" w:cs="Arial"/>
                <w:b/>
                <w:bCs/>
                <w:noProof/>
                <w:sz w:val="20"/>
                <w:szCs w:val="20"/>
              </w:rPr>
              <w:t>10</w:t>
            </w:r>
            <w:r w:rsidR="006E3E57" w:rsidRPr="0045264D">
              <w:rPr>
                <w:rFonts w:ascii="Arial" w:hAnsi="Arial" w:cs="Arial"/>
                <w:b/>
                <w:bCs/>
                <w:sz w:val="20"/>
                <w:szCs w:val="20"/>
              </w:rPr>
              <w:fldChar w:fldCharType="end"/>
            </w:r>
          </w:sdtContent>
        </w:sdt>
      </w:sdtContent>
    </w:sdt>
  </w:p>
  <w:p w:rsidR="00831750" w:rsidRPr="0045264D" w:rsidRDefault="00831750" w:rsidP="008A15F2">
    <w:pPr>
      <w:pStyle w:val="Stopk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1B" w:rsidRDefault="00B0741B" w:rsidP="00AE36D9">
      <w:pPr>
        <w:spacing w:after="0" w:line="240" w:lineRule="auto"/>
      </w:pPr>
      <w:r>
        <w:separator/>
      </w:r>
    </w:p>
  </w:footnote>
  <w:footnote w:type="continuationSeparator" w:id="0">
    <w:p w:rsidR="00B0741B" w:rsidRDefault="00B0741B" w:rsidP="00AE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102"/>
    <w:multiLevelType w:val="hybridMultilevel"/>
    <w:tmpl w:val="36F24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E448C"/>
    <w:multiLevelType w:val="hybridMultilevel"/>
    <w:tmpl w:val="D4AC89D4"/>
    <w:lvl w:ilvl="0" w:tplc="0E96EFDA">
      <w:start w:val="1"/>
      <w:numFmt w:val="decimal"/>
      <w:lvlText w:val="%1."/>
      <w:lvlJc w:val="left"/>
      <w:pPr>
        <w:ind w:left="360" w:hanging="360"/>
      </w:pPr>
      <w:rPr>
        <w:rFonts w:ascii="Calibri" w:hAnsi="Calibri" w:cs="Times New Roman" w:hint="default"/>
        <w:i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E241B8D"/>
    <w:multiLevelType w:val="hybridMultilevel"/>
    <w:tmpl w:val="4EBCD566"/>
    <w:lvl w:ilvl="0" w:tplc="1E82A1F8">
      <w:start w:val="1"/>
      <w:numFmt w:val="lowerLetter"/>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3" w15:restartNumberingAfterBreak="0">
    <w:nsid w:val="0FDB6BDD"/>
    <w:multiLevelType w:val="hybridMultilevel"/>
    <w:tmpl w:val="B5088EBC"/>
    <w:lvl w:ilvl="0" w:tplc="1AE2AC18">
      <w:start w:val="1"/>
      <w:numFmt w:val="bullet"/>
      <w:lvlText w:val=""/>
      <w:lvlJc w:val="left"/>
      <w:pPr>
        <w:ind w:left="360" w:hanging="360"/>
      </w:pPr>
      <w:rPr>
        <w:rFonts w:ascii="Symbol" w:hAnsi="Symbol" w:hint="default"/>
        <w:i w:val="0"/>
        <w:strike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5A346DE"/>
    <w:multiLevelType w:val="hybridMultilevel"/>
    <w:tmpl w:val="3746F08C"/>
    <w:lvl w:ilvl="0" w:tplc="1C58AE6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2092F"/>
    <w:multiLevelType w:val="hybridMultilevel"/>
    <w:tmpl w:val="148235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E0829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F2937"/>
    <w:multiLevelType w:val="hybridMultilevel"/>
    <w:tmpl w:val="FB7C5662"/>
    <w:lvl w:ilvl="0" w:tplc="4F200DC8">
      <w:start w:val="1"/>
      <w:numFmt w:val="decimal"/>
      <w:lvlText w:val="%1."/>
      <w:lvlJc w:val="left"/>
      <w:pPr>
        <w:tabs>
          <w:tab w:val="num" w:pos="357"/>
        </w:tabs>
        <w:ind w:left="357" w:hanging="357"/>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start w:val="3"/>
      <w:numFmt w:val="lowerLetter"/>
      <w:lvlText w:val="%3."/>
      <w:lvlJc w:val="left"/>
      <w:pPr>
        <w:tabs>
          <w:tab w:val="num" w:pos="2340"/>
        </w:tabs>
        <w:ind w:left="2340" w:hanging="360"/>
      </w:pPr>
      <w:rPr>
        <w:rFonts w:ascii="Times New Roman" w:hAnsi="Times New Roman" w:cs="Times New Roman" w:hint="default"/>
        <w:b w:val="0"/>
        <w:i w:val="0"/>
      </w:rPr>
    </w:lvl>
    <w:lvl w:ilvl="3" w:tplc="8BA00F0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78D09A3"/>
    <w:multiLevelType w:val="hybridMultilevel"/>
    <w:tmpl w:val="C7941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E0829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056E86"/>
    <w:multiLevelType w:val="multilevel"/>
    <w:tmpl w:val="C75A6660"/>
    <w:lvl w:ilvl="0">
      <w:start w:val="1"/>
      <w:numFmt w:val="decimal"/>
      <w:lvlText w:val="%1."/>
      <w:lvlJc w:val="left"/>
      <w:pPr>
        <w:ind w:left="390" w:hanging="390"/>
      </w:pPr>
      <w:rPr>
        <w:rFonts w:ascii="Calibri" w:hAnsi="Calibri" w:hint="default"/>
        <w:b w:val="0"/>
        <w:i w:val="0"/>
        <w:sz w:val="22"/>
        <w:szCs w:val="22"/>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CA595F"/>
    <w:multiLevelType w:val="hybridMultilevel"/>
    <w:tmpl w:val="9D90394A"/>
    <w:lvl w:ilvl="0" w:tplc="00000012">
      <w:start w:val="1"/>
      <w:numFmt w:val="bullet"/>
      <w:lvlText w:val="–"/>
      <w:lvlJc w:val="left"/>
      <w:pPr>
        <w:ind w:left="1514" w:hanging="360"/>
      </w:pPr>
      <w:rPr>
        <w:rFonts w:ascii="Times New Roman" w:hAnsi="Times New Roman" w:cs="Times New Roman"/>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0" w15:restartNumberingAfterBreak="0">
    <w:nsid w:val="3B7B0CD2"/>
    <w:multiLevelType w:val="hybridMultilevel"/>
    <w:tmpl w:val="30D83A8E"/>
    <w:lvl w:ilvl="0" w:tplc="0415000F">
      <w:start w:val="1"/>
      <w:numFmt w:val="decimal"/>
      <w:lvlText w:val="%1."/>
      <w:lvlJc w:val="left"/>
      <w:pPr>
        <w:ind w:left="720" w:hanging="360"/>
      </w:pPr>
    </w:lvl>
    <w:lvl w:ilvl="1" w:tplc="72803204">
      <w:start w:val="2"/>
      <w:numFmt w:val="lowerLetter"/>
      <w:lvlText w:val="%2."/>
      <w:lvlJc w:val="left"/>
      <w:pPr>
        <w:ind w:left="1440" w:hanging="360"/>
      </w:pPr>
      <w:rPr>
        <w:rFonts w:hint="default"/>
      </w:rPr>
    </w:lvl>
    <w:lvl w:ilvl="2" w:tplc="3E0829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8B16F3"/>
    <w:multiLevelType w:val="multilevel"/>
    <w:tmpl w:val="2E4EBA2E"/>
    <w:lvl w:ilvl="0">
      <w:start w:val="1"/>
      <w:numFmt w:val="bullet"/>
      <w:lvlText w:val=""/>
      <w:lvlJc w:val="left"/>
      <w:pPr>
        <w:ind w:left="390" w:hanging="390"/>
      </w:pPr>
      <w:rPr>
        <w:rFonts w:ascii="Symbol" w:hAnsi="Symbol" w:hint="default"/>
        <w:b w:val="0"/>
        <w:i w:val="0"/>
        <w:sz w:val="22"/>
        <w:szCs w:val="22"/>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8E6DB0"/>
    <w:multiLevelType w:val="hybridMultilevel"/>
    <w:tmpl w:val="39D4091C"/>
    <w:lvl w:ilvl="0" w:tplc="FA566386">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3D49F5"/>
    <w:multiLevelType w:val="hybridMultilevel"/>
    <w:tmpl w:val="54165716"/>
    <w:lvl w:ilvl="0" w:tplc="120818E4">
      <w:start w:val="1"/>
      <w:numFmt w:val="lowerLetter"/>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4" w15:restartNumberingAfterBreak="0">
    <w:nsid w:val="58700131"/>
    <w:multiLevelType w:val="multilevel"/>
    <w:tmpl w:val="C380ABF2"/>
    <w:lvl w:ilvl="0">
      <w:start w:val="1"/>
      <w:numFmt w:val="bullet"/>
      <w:lvlText w:val=""/>
      <w:lvlJc w:val="left"/>
      <w:pPr>
        <w:ind w:left="390" w:hanging="390"/>
      </w:pPr>
      <w:rPr>
        <w:rFonts w:ascii="Symbol" w:hAnsi="Symbol" w:hint="default"/>
        <w:b w:val="0"/>
        <w:i w:val="0"/>
        <w:sz w:val="22"/>
        <w:szCs w:val="22"/>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96660BD"/>
    <w:multiLevelType w:val="hybridMultilevel"/>
    <w:tmpl w:val="7A464CDE"/>
    <w:lvl w:ilvl="0" w:tplc="3B14C1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642C8B"/>
    <w:multiLevelType w:val="hybridMultilevel"/>
    <w:tmpl w:val="FA7AB7A0"/>
    <w:lvl w:ilvl="0" w:tplc="3B14C1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2B056B"/>
    <w:multiLevelType w:val="hybridMultilevel"/>
    <w:tmpl w:val="CC1A9034"/>
    <w:lvl w:ilvl="0" w:tplc="94B69FB2">
      <w:start w:val="1"/>
      <w:numFmt w:val="decimal"/>
      <w:lvlText w:val="%1."/>
      <w:lvlJc w:val="left"/>
      <w:pPr>
        <w:ind w:left="360" w:hanging="360"/>
      </w:pPr>
      <w:rPr>
        <w:rFonts w:ascii="Calibri" w:hAnsi="Calibri" w:hint="default"/>
        <w:b w:val="0"/>
        <w:i w:val="0"/>
        <w:sz w:val="22"/>
        <w:szCs w:val="22"/>
      </w:rPr>
    </w:lvl>
    <w:lvl w:ilvl="1" w:tplc="789ECB0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9D67C55"/>
    <w:multiLevelType w:val="hybridMultilevel"/>
    <w:tmpl w:val="AADEBA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345E48"/>
    <w:multiLevelType w:val="hybridMultilevel"/>
    <w:tmpl w:val="72FEDF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E0829B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B03C6B"/>
    <w:multiLevelType w:val="multilevel"/>
    <w:tmpl w:val="4A7A921A"/>
    <w:lvl w:ilvl="0">
      <w:start w:val="1"/>
      <w:numFmt w:val="bullet"/>
      <w:lvlText w:val=""/>
      <w:lvlJc w:val="left"/>
      <w:pPr>
        <w:ind w:left="390" w:hanging="390"/>
      </w:pPr>
      <w:rPr>
        <w:rFonts w:ascii="Symbol" w:hAnsi="Symbol" w:hint="default"/>
        <w:b w:val="0"/>
        <w:i w:val="0"/>
        <w:sz w:val="22"/>
        <w:szCs w:val="22"/>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84075AF"/>
    <w:multiLevelType w:val="hybridMultilevel"/>
    <w:tmpl w:val="24ECF194"/>
    <w:lvl w:ilvl="0" w:tplc="70E2328A">
      <w:start w:val="1"/>
      <w:numFmt w:val="lowerLetter"/>
      <w:pStyle w:val="UMWLNagwek2"/>
      <w:lvlText w:val="%1)"/>
      <w:lvlJc w:val="left"/>
      <w:pPr>
        <w:ind w:left="720" w:hanging="360"/>
      </w:pPr>
      <w:rPr>
        <w:rFonts w:ascii="Arial" w:hAnsi="Arial" w:cs="Arial"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9806D77"/>
    <w:multiLevelType w:val="hybridMultilevel"/>
    <w:tmpl w:val="9AB82BDA"/>
    <w:lvl w:ilvl="0" w:tplc="DE145F7E">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2943DF"/>
    <w:multiLevelType w:val="hybridMultilevel"/>
    <w:tmpl w:val="EFB21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5"/>
  </w:num>
  <w:num w:numId="5">
    <w:abstractNumId w:val="2"/>
  </w:num>
  <w:num w:numId="6">
    <w:abstractNumId w:val="13"/>
  </w:num>
  <w:num w:numId="7">
    <w:abstractNumId w:val="9"/>
  </w:num>
  <w:num w:numId="8">
    <w:abstractNumId w:val="4"/>
  </w:num>
  <w:num w:numId="9">
    <w:abstractNumId w:val="7"/>
  </w:num>
  <w:num w:numId="10">
    <w:abstractNumId w:val="5"/>
  </w:num>
  <w:num w:numId="11">
    <w:abstractNumId w:val="19"/>
  </w:num>
  <w:num w:numId="12">
    <w:abstractNumId w:val="22"/>
  </w:num>
  <w:num w:numId="13">
    <w:abstractNumId w:val="18"/>
  </w:num>
  <w:num w:numId="14">
    <w:abstractNumId w:val="16"/>
  </w:num>
  <w:num w:numId="15">
    <w:abstractNumId w:val="12"/>
  </w:num>
  <w:num w:numId="16">
    <w:abstractNumId w:val="17"/>
  </w:num>
  <w:num w:numId="17">
    <w:abstractNumId w:val="8"/>
  </w:num>
  <w:num w:numId="18">
    <w:abstractNumId w:val="6"/>
  </w:num>
  <w:num w:numId="19">
    <w:abstractNumId w:val="20"/>
  </w:num>
  <w:num w:numId="20">
    <w:abstractNumId w:val="11"/>
  </w:num>
  <w:num w:numId="21">
    <w:abstractNumId w:val="14"/>
  </w:num>
  <w:num w:numId="22">
    <w:abstractNumId w:val="1"/>
  </w:num>
  <w:num w:numId="23">
    <w:abstractNumId w:val="3"/>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3A"/>
    <w:rsid w:val="00004C96"/>
    <w:rsid w:val="00006084"/>
    <w:rsid w:val="00007123"/>
    <w:rsid w:val="00021F17"/>
    <w:rsid w:val="00025BE0"/>
    <w:rsid w:val="000356FD"/>
    <w:rsid w:val="00076F5F"/>
    <w:rsid w:val="000829A1"/>
    <w:rsid w:val="00086E98"/>
    <w:rsid w:val="00087A0B"/>
    <w:rsid w:val="00092F6F"/>
    <w:rsid w:val="000977CD"/>
    <w:rsid w:val="000B0042"/>
    <w:rsid w:val="000B3F05"/>
    <w:rsid w:val="000B700D"/>
    <w:rsid w:val="000C6296"/>
    <w:rsid w:val="000E027E"/>
    <w:rsid w:val="000E1D67"/>
    <w:rsid w:val="000E5FF2"/>
    <w:rsid w:val="000F3D85"/>
    <w:rsid w:val="001365FE"/>
    <w:rsid w:val="00140E33"/>
    <w:rsid w:val="00147DA7"/>
    <w:rsid w:val="00150B59"/>
    <w:rsid w:val="00152A1A"/>
    <w:rsid w:val="00163872"/>
    <w:rsid w:val="001664EF"/>
    <w:rsid w:val="00174141"/>
    <w:rsid w:val="00174689"/>
    <w:rsid w:val="001800D9"/>
    <w:rsid w:val="00182546"/>
    <w:rsid w:val="00184849"/>
    <w:rsid w:val="001879EA"/>
    <w:rsid w:val="001A5037"/>
    <w:rsid w:val="001A55E1"/>
    <w:rsid w:val="001B109F"/>
    <w:rsid w:val="001B1D06"/>
    <w:rsid w:val="001B3E30"/>
    <w:rsid w:val="001C16C0"/>
    <w:rsid w:val="001C3A64"/>
    <w:rsid w:val="001D2005"/>
    <w:rsid w:val="001D30BC"/>
    <w:rsid w:val="001F3553"/>
    <w:rsid w:val="0020241C"/>
    <w:rsid w:val="00205BC4"/>
    <w:rsid w:val="00217276"/>
    <w:rsid w:val="0022193B"/>
    <w:rsid w:val="002235CF"/>
    <w:rsid w:val="0022582A"/>
    <w:rsid w:val="00232177"/>
    <w:rsid w:val="002358A9"/>
    <w:rsid w:val="00236FD4"/>
    <w:rsid w:val="002510F0"/>
    <w:rsid w:val="00251A0E"/>
    <w:rsid w:val="00252BFD"/>
    <w:rsid w:val="00254EB8"/>
    <w:rsid w:val="00262A56"/>
    <w:rsid w:val="00266252"/>
    <w:rsid w:val="00275A4A"/>
    <w:rsid w:val="00285C5C"/>
    <w:rsid w:val="002926E9"/>
    <w:rsid w:val="0029331B"/>
    <w:rsid w:val="00297FB3"/>
    <w:rsid w:val="002A3953"/>
    <w:rsid w:val="002A42B9"/>
    <w:rsid w:val="002A5C87"/>
    <w:rsid w:val="002A7855"/>
    <w:rsid w:val="002B109D"/>
    <w:rsid w:val="002C0CFA"/>
    <w:rsid w:val="002C12A4"/>
    <w:rsid w:val="002C1E69"/>
    <w:rsid w:val="002C3119"/>
    <w:rsid w:val="002D33B6"/>
    <w:rsid w:val="002D6C99"/>
    <w:rsid w:val="002F107E"/>
    <w:rsid w:val="002F1C38"/>
    <w:rsid w:val="002F3CA9"/>
    <w:rsid w:val="002F582A"/>
    <w:rsid w:val="00301293"/>
    <w:rsid w:val="003024A6"/>
    <w:rsid w:val="003046A9"/>
    <w:rsid w:val="003077DD"/>
    <w:rsid w:val="00312E1D"/>
    <w:rsid w:val="003164C4"/>
    <w:rsid w:val="003238C5"/>
    <w:rsid w:val="00335437"/>
    <w:rsid w:val="00350254"/>
    <w:rsid w:val="00373771"/>
    <w:rsid w:val="0038541F"/>
    <w:rsid w:val="00387B97"/>
    <w:rsid w:val="00387FD9"/>
    <w:rsid w:val="0039049D"/>
    <w:rsid w:val="0039061D"/>
    <w:rsid w:val="003A1E5F"/>
    <w:rsid w:val="003B4D0E"/>
    <w:rsid w:val="003B6B2C"/>
    <w:rsid w:val="003B6BDE"/>
    <w:rsid w:val="003C3DF5"/>
    <w:rsid w:val="003C6E0A"/>
    <w:rsid w:val="003D0914"/>
    <w:rsid w:val="003D4A30"/>
    <w:rsid w:val="003D52CE"/>
    <w:rsid w:val="003D7AF5"/>
    <w:rsid w:val="003E1539"/>
    <w:rsid w:val="003F0243"/>
    <w:rsid w:val="003F20CD"/>
    <w:rsid w:val="004101C7"/>
    <w:rsid w:val="00417F86"/>
    <w:rsid w:val="004247C0"/>
    <w:rsid w:val="0042538A"/>
    <w:rsid w:val="00436455"/>
    <w:rsid w:val="00440A19"/>
    <w:rsid w:val="0045027D"/>
    <w:rsid w:val="0045264D"/>
    <w:rsid w:val="004540C8"/>
    <w:rsid w:val="00466D05"/>
    <w:rsid w:val="00477099"/>
    <w:rsid w:val="0048029E"/>
    <w:rsid w:val="004919E1"/>
    <w:rsid w:val="004A07BB"/>
    <w:rsid w:val="004A293C"/>
    <w:rsid w:val="004B4F66"/>
    <w:rsid w:val="004B6D19"/>
    <w:rsid w:val="004D1FE8"/>
    <w:rsid w:val="004D36F5"/>
    <w:rsid w:val="004D6EBE"/>
    <w:rsid w:val="004E129C"/>
    <w:rsid w:val="004E4DC1"/>
    <w:rsid w:val="004F2775"/>
    <w:rsid w:val="004F5237"/>
    <w:rsid w:val="004F62A3"/>
    <w:rsid w:val="00505C98"/>
    <w:rsid w:val="005072B1"/>
    <w:rsid w:val="0050796D"/>
    <w:rsid w:val="00511543"/>
    <w:rsid w:val="00512620"/>
    <w:rsid w:val="00512E5E"/>
    <w:rsid w:val="00514593"/>
    <w:rsid w:val="0052444F"/>
    <w:rsid w:val="00530905"/>
    <w:rsid w:val="00533E67"/>
    <w:rsid w:val="00534825"/>
    <w:rsid w:val="00535D96"/>
    <w:rsid w:val="00550D3C"/>
    <w:rsid w:val="00551737"/>
    <w:rsid w:val="005566E8"/>
    <w:rsid w:val="0056522F"/>
    <w:rsid w:val="00566F7F"/>
    <w:rsid w:val="00570D18"/>
    <w:rsid w:val="005729E8"/>
    <w:rsid w:val="00582F36"/>
    <w:rsid w:val="00584DB2"/>
    <w:rsid w:val="005853E4"/>
    <w:rsid w:val="005A1CF8"/>
    <w:rsid w:val="005A78AA"/>
    <w:rsid w:val="005B3127"/>
    <w:rsid w:val="005D08E7"/>
    <w:rsid w:val="005D483A"/>
    <w:rsid w:val="005D7237"/>
    <w:rsid w:val="005D7D36"/>
    <w:rsid w:val="005E09C2"/>
    <w:rsid w:val="005E4468"/>
    <w:rsid w:val="005F0306"/>
    <w:rsid w:val="005F0875"/>
    <w:rsid w:val="005F1AF0"/>
    <w:rsid w:val="005F24F0"/>
    <w:rsid w:val="00610112"/>
    <w:rsid w:val="00617502"/>
    <w:rsid w:val="00642CA2"/>
    <w:rsid w:val="00651082"/>
    <w:rsid w:val="00652CEE"/>
    <w:rsid w:val="006536AE"/>
    <w:rsid w:val="006544FA"/>
    <w:rsid w:val="006554C3"/>
    <w:rsid w:val="006567D9"/>
    <w:rsid w:val="00682CE0"/>
    <w:rsid w:val="006868F0"/>
    <w:rsid w:val="006874A4"/>
    <w:rsid w:val="006A79E5"/>
    <w:rsid w:val="006C53DB"/>
    <w:rsid w:val="006C5A67"/>
    <w:rsid w:val="006D1C12"/>
    <w:rsid w:val="006D6458"/>
    <w:rsid w:val="006D6C13"/>
    <w:rsid w:val="006E3E57"/>
    <w:rsid w:val="006E53EB"/>
    <w:rsid w:val="006E6E26"/>
    <w:rsid w:val="006F5D72"/>
    <w:rsid w:val="006F7863"/>
    <w:rsid w:val="00700B72"/>
    <w:rsid w:val="0070130E"/>
    <w:rsid w:val="00704547"/>
    <w:rsid w:val="0071397C"/>
    <w:rsid w:val="007259CB"/>
    <w:rsid w:val="00733006"/>
    <w:rsid w:val="007343E4"/>
    <w:rsid w:val="00741ABD"/>
    <w:rsid w:val="00743EE3"/>
    <w:rsid w:val="00745F6F"/>
    <w:rsid w:val="00756829"/>
    <w:rsid w:val="00767F9D"/>
    <w:rsid w:val="007719E4"/>
    <w:rsid w:val="00774B2D"/>
    <w:rsid w:val="00775936"/>
    <w:rsid w:val="0079353A"/>
    <w:rsid w:val="00794F2D"/>
    <w:rsid w:val="0079680B"/>
    <w:rsid w:val="007A4C3F"/>
    <w:rsid w:val="007B081F"/>
    <w:rsid w:val="007D6823"/>
    <w:rsid w:val="007E5AD1"/>
    <w:rsid w:val="007F628F"/>
    <w:rsid w:val="008054F4"/>
    <w:rsid w:val="008067EE"/>
    <w:rsid w:val="00811B49"/>
    <w:rsid w:val="008133FE"/>
    <w:rsid w:val="00817E38"/>
    <w:rsid w:val="0082444A"/>
    <w:rsid w:val="008257DF"/>
    <w:rsid w:val="00831750"/>
    <w:rsid w:val="00834A25"/>
    <w:rsid w:val="0083613E"/>
    <w:rsid w:val="00842FF4"/>
    <w:rsid w:val="0084476D"/>
    <w:rsid w:val="00861DE3"/>
    <w:rsid w:val="008651B7"/>
    <w:rsid w:val="008714E8"/>
    <w:rsid w:val="008816A0"/>
    <w:rsid w:val="008839EA"/>
    <w:rsid w:val="008A15F2"/>
    <w:rsid w:val="008A57D0"/>
    <w:rsid w:val="008B156C"/>
    <w:rsid w:val="008B1CE9"/>
    <w:rsid w:val="008D2C4E"/>
    <w:rsid w:val="00912152"/>
    <w:rsid w:val="00915D47"/>
    <w:rsid w:val="00917BC2"/>
    <w:rsid w:val="00922AA9"/>
    <w:rsid w:val="00951661"/>
    <w:rsid w:val="00961AE8"/>
    <w:rsid w:val="00967E0E"/>
    <w:rsid w:val="009725D8"/>
    <w:rsid w:val="00973B67"/>
    <w:rsid w:val="00977613"/>
    <w:rsid w:val="00977704"/>
    <w:rsid w:val="009834E5"/>
    <w:rsid w:val="009835A8"/>
    <w:rsid w:val="009914C4"/>
    <w:rsid w:val="009914C6"/>
    <w:rsid w:val="00996562"/>
    <w:rsid w:val="009A033B"/>
    <w:rsid w:val="009A1D1A"/>
    <w:rsid w:val="009B2518"/>
    <w:rsid w:val="009C04B9"/>
    <w:rsid w:val="009C1D69"/>
    <w:rsid w:val="009C71A7"/>
    <w:rsid w:val="009D4FB7"/>
    <w:rsid w:val="009D7235"/>
    <w:rsid w:val="009E3C27"/>
    <w:rsid w:val="00A01503"/>
    <w:rsid w:val="00A02D41"/>
    <w:rsid w:val="00A06F74"/>
    <w:rsid w:val="00A10013"/>
    <w:rsid w:val="00A16BD0"/>
    <w:rsid w:val="00A27960"/>
    <w:rsid w:val="00A52AF9"/>
    <w:rsid w:val="00A61BA9"/>
    <w:rsid w:val="00A62936"/>
    <w:rsid w:val="00A65489"/>
    <w:rsid w:val="00A728A7"/>
    <w:rsid w:val="00A7462F"/>
    <w:rsid w:val="00A90519"/>
    <w:rsid w:val="00A9441B"/>
    <w:rsid w:val="00AB0CD1"/>
    <w:rsid w:val="00AB4E5E"/>
    <w:rsid w:val="00AD7A0C"/>
    <w:rsid w:val="00AE0BC4"/>
    <w:rsid w:val="00AE2DC1"/>
    <w:rsid w:val="00AE36D9"/>
    <w:rsid w:val="00B01C03"/>
    <w:rsid w:val="00B06BFB"/>
    <w:rsid w:val="00B0741B"/>
    <w:rsid w:val="00B16B6B"/>
    <w:rsid w:val="00B202A8"/>
    <w:rsid w:val="00B24542"/>
    <w:rsid w:val="00B26FD4"/>
    <w:rsid w:val="00B27160"/>
    <w:rsid w:val="00B32906"/>
    <w:rsid w:val="00B33ECD"/>
    <w:rsid w:val="00B41CB1"/>
    <w:rsid w:val="00B42EDF"/>
    <w:rsid w:val="00B5144E"/>
    <w:rsid w:val="00B5541B"/>
    <w:rsid w:val="00B632B9"/>
    <w:rsid w:val="00B73DDE"/>
    <w:rsid w:val="00B840EA"/>
    <w:rsid w:val="00B866D1"/>
    <w:rsid w:val="00B95DD3"/>
    <w:rsid w:val="00B95FD2"/>
    <w:rsid w:val="00BA1D50"/>
    <w:rsid w:val="00BA34A6"/>
    <w:rsid w:val="00BA5A91"/>
    <w:rsid w:val="00BA5F1D"/>
    <w:rsid w:val="00BB24AC"/>
    <w:rsid w:val="00BB509B"/>
    <w:rsid w:val="00BB6A43"/>
    <w:rsid w:val="00BC2F74"/>
    <w:rsid w:val="00BD258D"/>
    <w:rsid w:val="00BD3F6D"/>
    <w:rsid w:val="00BE193A"/>
    <w:rsid w:val="00C23938"/>
    <w:rsid w:val="00C323FD"/>
    <w:rsid w:val="00C32DFF"/>
    <w:rsid w:val="00C37C1A"/>
    <w:rsid w:val="00C41232"/>
    <w:rsid w:val="00C507C2"/>
    <w:rsid w:val="00C55044"/>
    <w:rsid w:val="00C57BE4"/>
    <w:rsid w:val="00C67E60"/>
    <w:rsid w:val="00C86223"/>
    <w:rsid w:val="00C9288B"/>
    <w:rsid w:val="00CB31EE"/>
    <w:rsid w:val="00CB6FF1"/>
    <w:rsid w:val="00CD02A7"/>
    <w:rsid w:val="00CD05A2"/>
    <w:rsid w:val="00CD081B"/>
    <w:rsid w:val="00CE0B29"/>
    <w:rsid w:val="00CF24DE"/>
    <w:rsid w:val="00D00303"/>
    <w:rsid w:val="00D012EE"/>
    <w:rsid w:val="00D020BA"/>
    <w:rsid w:val="00D03C10"/>
    <w:rsid w:val="00D12AE5"/>
    <w:rsid w:val="00D17A0E"/>
    <w:rsid w:val="00D24CD7"/>
    <w:rsid w:val="00D25243"/>
    <w:rsid w:val="00D30F12"/>
    <w:rsid w:val="00D33C0D"/>
    <w:rsid w:val="00D346F1"/>
    <w:rsid w:val="00D41E34"/>
    <w:rsid w:val="00D474DB"/>
    <w:rsid w:val="00D60E22"/>
    <w:rsid w:val="00D61070"/>
    <w:rsid w:val="00D61BF4"/>
    <w:rsid w:val="00D6230A"/>
    <w:rsid w:val="00D659C5"/>
    <w:rsid w:val="00D82589"/>
    <w:rsid w:val="00D90BA3"/>
    <w:rsid w:val="00D972AC"/>
    <w:rsid w:val="00D97DC3"/>
    <w:rsid w:val="00DB3FBD"/>
    <w:rsid w:val="00DB690C"/>
    <w:rsid w:val="00DC3BB3"/>
    <w:rsid w:val="00DC61B4"/>
    <w:rsid w:val="00DE269D"/>
    <w:rsid w:val="00DF3DCD"/>
    <w:rsid w:val="00E16B08"/>
    <w:rsid w:val="00E2680E"/>
    <w:rsid w:val="00E26E05"/>
    <w:rsid w:val="00E27347"/>
    <w:rsid w:val="00E27354"/>
    <w:rsid w:val="00E274F4"/>
    <w:rsid w:val="00E32F7F"/>
    <w:rsid w:val="00E53246"/>
    <w:rsid w:val="00E56DA1"/>
    <w:rsid w:val="00E62EF3"/>
    <w:rsid w:val="00E64B24"/>
    <w:rsid w:val="00E744D7"/>
    <w:rsid w:val="00E93992"/>
    <w:rsid w:val="00EC0614"/>
    <w:rsid w:val="00EC1C5F"/>
    <w:rsid w:val="00EC6404"/>
    <w:rsid w:val="00EC6CB2"/>
    <w:rsid w:val="00ED009E"/>
    <w:rsid w:val="00ED4A42"/>
    <w:rsid w:val="00EE4999"/>
    <w:rsid w:val="00EF7FE2"/>
    <w:rsid w:val="00F00099"/>
    <w:rsid w:val="00F07EF3"/>
    <w:rsid w:val="00F1351D"/>
    <w:rsid w:val="00F31F0F"/>
    <w:rsid w:val="00F37E59"/>
    <w:rsid w:val="00F40509"/>
    <w:rsid w:val="00F43058"/>
    <w:rsid w:val="00F4523D"/>
    <w:rsid w:val="00F54ECB"/>
    <w:rsid w:val="00F72B03"/>
    <w:rsid w:val="00F77614"/>
    <w:rsid w:val="00F80420"/>
    <w:rsid w:val="00F8127A"/>
    <w:rsid w:val="00F85290"/>
    <w:rsid w:val="00F86BFD"/>
    <w:rsid w:val="00F86DB6"/>
    <w:rsid w:val="00FA4E27"/>
    <w:rsid w:val="00FD3675"/>
    <w:rsid w:val="00FE3F51"/>
    <w:rsid w:val="00FF0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0CAF5E"/>
  <w15:docId w15:val="{900D60F6-DB45-4E0D-97E4-D4353B32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semiHidden="1"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B840EA"/>
    <w:pPr>
      <w:spacing w:after="200" w:line="276" w:lineRule="auto"/>
    </w:pPr>
    <w:rPr>
      <w:lang w:eastAsia="en-US"/>
    </w:rPr>
  </w:style>
  <w:style w:type="paragraph" w:styleId="Nagwek1">
    <w:name w:val="heading 1"/>
    <w:basedOn w:val="Normalny"/>
    <w:next w:val="Normalny"/>
    <w:link w:val="Nagwek1Znak"/>
    <w:uiPriority w:val="99"/>
    <w:qFormat/>
    <w:locked/>
    <w:rsid w:val="00275A4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unhideWhenUsed/>
    <w:qFormat/>
    <w:locked/>
    <w:rsid w:val="00275A4A"/>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566F7F"/>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566F7F"/>
    <w:rPr>
      <w:rFonts w:ascii="Cambria" w:hAnsi="Cambria" w:cs="Times New Roman"/>
      <w:b/>
      <w:bCs/>
      <w:color w:val="4F81BD"/>
    </w:rPr>
  </w:style>
  <w:style w:type="table" w:styleId="Tabela-Siatka">
    <w:name w:val="Table Grid"/>
    <w:basedOn w:val="Standardowy"/>
    <w:uiPriority w:val="99"/>
    <w:rsid w:val="00F31F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iformularztytulelementu">
    <w:name w:val="lsi_formularz_tytul_elementu"/>
    <w:basedOn w:val="Domylnaczcionkaakapitu"/>
    <w:uiPriority w:val="99"/>
    <w:rsid w:val="00DB3FBD"/>
    <w:rPr>
      <w:rFonts w:cs="Times New Roman"/>
    </w:rPr>
  </w:style>
  <w:style w:type="paragraph" w:styleId="Akapitzlist">
    <w:name w:val="List Paragraph"/>
    <w:basedOn w:val="Normalny"/>
    <w:link w:val="AkapitzlistZnak"/>
    <w:uiPriority w:val="99"/>
    <w:qFormat/>
    <w:rsid w:val="00951661"/>
    <w:pPr>
      <w:ind w:left="720"/>
      <w:contextualSpacing/>
    </w:pPr>
  </w:style>
  <w:style w:type="paragraph" w:styleId="Tekstprzypisukocowego">
    <w:name w:val="endnote text"/>
    <w:basedOn w:val="Normalny"/>
    <w:link w:val="TekstprzypisukocowegoZnak"/>
    <w:uiPriority w:val="99"/>
    <w:semiHidden/>
    <w:rsid w:val="00AE36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AE36D9"/>
    <w:rPr>
      <w:rFonts w:cs="Times New Roman"/>
      <w:sz w:val="20"/>
      <w:szCs w:val="20"/>
    </w:rPr>
  </w:style>
  <w:style w:type="character" w:styleId="Odwoanieprzypisukocowego">
    <w:name w:val="endnote reference"/>
    <w:basedOn w:val="Domylnaczcionkaakapitu"/>
    <w:uiPriority w:val="99"/>
    <w:semiHidden/>
    <w:rsid w:val="00AE36D9"/>
    <w:rPr>
      <w:rFonts w:cs="Times New Roman"/>
      <w:vertAlign w:val="superscript"/>
    </w:rPr>
  </w:style>
  <w:style w:type="character" w:customStyle="1" w:styleId="lsiselectedoptiontext">
    <w:name w:val="lsi_selected_option_text"/>
    <w:basedOn w:val="Domylnaczcionkaakapitu"/>
    <w:uiPriority w:val="99"/>
    <w:rsid w:val="00566F7F"/>
    <w:rPr>
      <w:rFonts w:cs="Times New Roman"/>
    </w:rPr>
  </w:style>
  <w:style w:type="character" w:styleId="Hipercze">
    <w:name w:val="Hyperlink"/>
    <w:basedOn w:val="Domylnaczcionkaakapitu"/>
    <w:uiPriority w:val="99"/>
    <w:rsid w:val="00566F7F"/>
    <w:rPr>
      <w:rFonts w:cs="Times New Roman"/>
      <w:color w:val="0000FF"/>
      <w:u w:val="single"/>
    </w:rPr>
  </w:style>
  <w:style w:type="character" w:styleId="UyteHipercze">
    <w:name w:val="FollowedHyperlink"/>
    <w:basedOn w:val="Domylnaczcionkaakapitu"/>
    <w:uiPriority w:val="99"/>
    <w:semiHidden/>
    <w:rsid w:val="00566F7F"/>
    <w:rPr>
      <w:rFonts w:cs="Times New Roman"/>
      <w:color w:val="800080"/>
      <w:u w:val="single"/>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F"/>
    <w:basedOn w:val="Normalny"/>
    <w:link w:val="TekstprzypisudolnegoZnak"/>
    <w:uiPriority w:val="99"/>
    <w:rsid w:val="00566F7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locked/>
    <w:rsid w:val="00566F7F"/>
    <w:rPr>
      <w:rFonts w:cs="Times New Roman"/>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fr"/>
    <w:basedOn w:val="Domylnaczcionkaakapitu"/>
    <w:uiPriority w:val="99"/>
    <w:rsid w:val="00566F7F"/>
    <w:rPr>
      <w:rFonts w:cs="Times New Roman"/>
      <w:vertAlign w:val="superscript"/>
    </w:rPr>
  </w:style>
  <w:style w:type="paragraph" w:styleId="Tekstdymka">
    <w:name w:val="Balloon Text"/>
    <w:basedOn w:val="Normalny"/>
    <w:link w:val="TekstdymkaZnak"/>
    <w:uiPriority w:val="99"/>
    <w:semiHidden/>
    <w:rsid w:val="00566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66F7F"/>
    <w:rPr>
      <w:rFonts w:ascii="Tahoma" w:hAnsi="Tahoma" w:cs="Tahoma"/>
      <w:sz w:val="16"/>
      <w:szCs w:val="16"/>
    </w:rPr>
  </w:style>
  <w:style w:type="paragraph" w:styleId="Nagwek">
    <w:name w:val="header"/>
    <w:basedOn w:val="Normalny"/>
    <w:link w:val="NagwekZnak"/>
    <w:uiPriority w:val="99"/>
    <w:rsid w:val="00566F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66F7F"/>
    <w:rPr>
      <w:rFonts w:cs="Times New Roman"/>
    </w:rPr>
  </w:style>
  <w:style w:type="paragraph" w:styleId="Stopka">
    <w:name w:val="footer"/>
    <w:basedOn w:val="Normalny"/>
    <w:link w:val="StopkaZnak"/>
    <w:uiPriority w:val="99"/>
    <w:rsid w:val="00566F7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66F7F"/>
    <w:rPr>
      <w:rFonts w:cs="Times New Roman"/>
    </w:rPr>
  </w:style>
  <w:style w:type="paragraph" w:styleId="Tekstkomentarza">
    <w:name w:val="annotation text"/>
    <w:basedOn w:val="Normalny"/>
    <w:link w:val="TekstkomentarzaZnak"/>
    <w:uiPriority w:val="99"/>
    <w:rsid w:val="00505C98"/>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505C98"/>
    <w:rPr>
      <w:rFonts w:cs="Times New Roman"/>
      <w:sz w:val="20"/>
      <w:szCs w:val="20"/>
    </w:rPr>
  </w:style>
  <w:style w:type="character" w:styleId="Odwoaniedokomentarza">
    <w:name w:val="annotation reference"/>
    <w:basedOn w:val="Domylnaczcionkaakapitu"/>
    <w:uiPriority w:val="99"/>
    <w:semiHidden/>
    <w:rsid w:val="00505C98"/>
    <w:rPr>
      <w:rFonts w:cs="Times New Roman"/>
      <w:sz w:val="16"/>
    </w:rPr>
  </w:style>
  <w:style w:type="paragraph" w:customStyle="1" w:styleId="Default">
    <w:name w:val="Default"/>
    <w:rsid w:val="00741ABD"/>
    <w:pPr>
      <w:autoSpaceDE w:val="0"/>
      <w:autoSpaceDN w:val="0"/>
      <w:adjustRightInd w:val="0"/>
    </w:pPr>
    <w:rPr>
      <w:rFonts w:cs="Calibri"/>
      <w:color w:val="000000"/>
      <w:sz w:val="24"/>
      <w:szCs w:val="24"/>
      <w:lang w:eastAsia="en-US"/>
    </w:rPr>
  </w:style>
  <w:style w:type="character" w:customStyle="1" w:styleId="Nagwek1Znak">
    <w:name w:val="Nagłówek 1 Znak"/>
    <w:basedOn w:val="Domylnaczcionkaakapitu"/>
    <w:link w:val="Nagwek1"/>
    <w:uiPriority w:val="99"/>
    <w:rsid w:val="00275A4A"/>
    <w:rPr>
      <w:rFonts w:ascii="Cambria" w:eastAsia="Times New Roman" w:hAnsi="Cambria"/>
      <w:b/>
      <w:bCs/>
      <w:kern w:val="32"/>
      <w:sz w:val="32"/>
      <w:szCs w:val="32"/>
      <w:lang w:eastAsia="en-US"/>
    </w:rPr>
  </w:style>
  <w:style w:type="character" w:customStyle="1" w:styleId="Nagwek2Znak">
    <w:name w:val="Nagłówek 2 Znak"/>
    <w:basedOn w:val="Domylnaczcionkaakapitu"/>
    <w:link w:val="Nagwek2"/>
    <w:uiPriority w:val="99"/>
    <w:rsid w:val="00275A4A"/>
    <w:rPr>
      <w:rFonts w:ascii="Cambria" w:eastAsia="Times New Roman" w:hAnsi="Cambria"/>
      <w:b/>
      <w:bCs/>
      <w:i/>
      <w:iCs/>
      <w:sz w:val="28"/>
      <w:szCs w:val="28"/>
      <w:lang w:eastAsia="en-US"/>
    </w:rPr>
  </w:style>
  <w:style w:type="character" w:customStyle="1" w:styleId="AkapitzlistZnak">
    <w:name w:val="Akapit z listą Znak"/>
    <w:basedOn w:val="Domylnaczcionkaakapitu"/>
    <w:link w:val="Akapitzlist"/>
    <w:uiPriority w:val="99"/>
    <w:rsid w:val="007B081F"/>
    <w:rPr>
      <w:lang w:eastAsia="en-US"/>
    </w:rPr>
  </w:style>
  <w:style w:type="paragraph" w:customStyle="1" w:styleId="UMWLNagwek2">
    <w:name w:val="UMWL Nagłówek 2"/>
    <w:basedOn w:val="Normalny"/>
    <w:link w:val="UMWLNagwek2Znak"/>
    <w:autoRedefine/>
    <w:uiPriority w:val="99"/>
    <w:rsid w:val="000356FD"/>
    <w:pPr>
      <w:numPr>
        <w:numId w:val="1"/>
      </w:numPr>
      <w:suppressAutoHyphens/>
      <w:autoSpaceDE w:val="0"/>
      <w:autoSpaceDN w:val="0"/>
      <w:spacing w:after="120"/>
      <w:jc w:val="both"/>
      <w:textAlignment w:val="baseline"/>
    </w:pPr>
    <w:rPr>
      <w:rFonts w:ascii="Arial" w:eastAsia="Times New Roman" w:hAnsi="Arial" w:cs="Arial"/>
      <w:b/>
      <w:bCs/>
    </w:rPr>
  </w:style>
  <w:style w:type="character" w:customStyle="1" w:styleId="UMWLNagwek2Znak">
    <w:name w:val="UMWL Nagłówek 2 Znak"/>
    <w:basedOn w:val="Domylnaczcionkaakapitu"/>
    <w:link w:val="UMWLNagwek2"/>
    <w:uiPriority w:val="99"/>
    <w:locked/>
    <w:rsid w:val="000356FD"/>
    <w:rPr>
      <w:rFonts w:ascii="Arial" w:eastAsia="Times New Roman"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3706">
      <w:bodyDiv w:val="1"/>
      <w:marLeft w:val="0"/>
      <w:marRight w:val="0"/>
      <w:marTop w:val="0"/>
      <w:marBottom w:val="0"/>
      <w:divBdr>
        <w:top w:val="none" w:sz="0" w:space="0" w:color="auto"/>
        <w:left w:val="none" w:sz="0" w:space="0" w:color="auto"/>
        <w:bottom w:val="none" w:sz="0" w:space="0" w:color="auto"/>
        <w:right w:val="none" w:sz="0" w:space="0" w:color="auto"/>
      </w:divBdr>
    </w:div>
    <w:div w:id="965936522">
      <w:bodyDiv w:val="1"/>
      <w:marLeft w:val="0"/>
      <w:marRight w:val="0"/>
      <w:marTop w:val="0"/>
      <w:marBottom w:val="0"/>
      <w:divBdr>
        <w:top w:val="none" w:sz="0" w:space="0" w:color="auto"/>
        <w:left w:val="none" w:sz="0" w:space="0" w:color="auto"/>
        <w:bottom w:val="none" w:sz="0" w:space="0" w:color="auto"/>
        <w:right w:val="none" w:sz="0" w:space="0" w:color="auto"/>
      </w:divBdr>
    </w:div>
    <w:div w:id="1099984248">
      <w:bodyDiv w:val="1"/>
      <w:marLeft w:val="0"/>
      <w:marRight w:val="0"/>
      <w:marTop w:val="0"/>
      <w:marBottom w:val="0"/>
      <w:divBdr>
        <w:top w:val="none" w:sz="0" w:space="0" w:color="auto"/>
        <w:left w:val="none" w:sz="0" w:space="0" w:color="auto"/>
        <w:bottom w:val="none" w:sz="0" w:space="0" w:color="auto"/>
        <w:right w:val="none" w:sz="0" w:space="0" w:color="auto"/>
      </w:divBdr>
    </w:div>
    <w:div w:id="1203707617">
      <w:marLeft w:val="0"/>
      <w:marRight w:val="0"/>
      <w:marTop w:val="0"/>
      <w:marBottom w:val="0"/>
      <w:divBdr>
        <w:top w:val="none" w:sz="0" w:space="0" w:color="auto"/>
        <w:left w:val="none" w:sz="0" w:space="0" w:color="auto"/>
        <w:bottom w:val="none" w:sz="0" w:space="0" w:color="auto"/>
        <w:right w:val="none" w:sz="0" w:space="0" w:color="auto"/>
      </w:divBdr>
      <w:divsChild>
        <w:div w:id="1203707600">
          <w:marLeft w:val="0"/>
          <w:marRight w:val="0"/>
          <w:marTop w:val="0"/>
          <w:marBottom w:val="0"/>
          <w:divBdr>
            <w:top w:val="none" w:sz="0" w:space="0" w:color="auto"/>
            <w:left w:val="none" w:sz="0" w:space="0" w:color="auto"/>
            <w:bottom w:val="none" w:sz="0" w:space="0" w:color="auto"/>
            <w:right w:val="none" w:sz="0" w:space="0" w:color="auto"/>
          </w:divBdr>
          <w:divsChild>
            <w:div w:id="1203707623">
              <w:marLeft w:val="0"/>
              <w:marRight w:val="0"/>
              <w:marTop w:val="0"/>
              <w:marBottom w:val="0"/>
              <w:divBdr>
                <w:top w:val="none" w:sz="0" w:space="0" w:color="auto"/>
                <w:left w:val="none" w:sz="0" w:space="0" w:color="auto"/>
                <w:bottom w:val="none" w:sz="0" w:space="0" w:color="auto"/>
                <w:right w:val="none" w:sz="0" w:space="0" w:color="auto"/>
              </w:divBdr>
              <w:divsChild>
                <w:div w:id="12037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02">
          <w:marLeft w:val="0"/>
          <w:marRight w:val="0"/>
          <w:marTop w:val="0"/>
          <w:marBottom w:val="0"/>
          <w:divBdr>
            <w:top w:val="none" w:sz="0" w:space="0" w:color="auto"/>
            <w:left w:val="none" w:sz="0" w:space="0" w:color="auto"/>
            <w:bottom w:val="none" w:sz="0" w:space="0" w:color="auto"/>
            <w:right w:val="none" w:sz="0" w:space="0" w:color="auto"/>
          </w:divBdr>
          <w:divsChild>
            <w:div w:id="1203707608">
              <w:marLeft w:val="0"/>
              <w:marRight w:val="0"/>
              <w:marTop w:val="0"/>
              <w:marBottom w:val="0"/>
              <w:divBdr>
                <w:top w:val="none" w:sz="0" w:space="0" w:color="auto"/>
                <w:left w:val="none" w:sz="0" w:space="0" w:color="auto"/>
                <w:bottom w:val="none" w:sz="0" w:space="0" w:color="auto"/>
                <w:right w:val="none" w:sz="0" w:space="0" w:color="auto"/>
              </w:divBdr>
              <w:divsChild>
                <w:div w:id="1203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05">
          <w:marLeft w:val="0"/>
          <w:marRight w:val="0"/>
          <w:marTop w:val="0"/>
          <w:marBottom w:val="0"/>
          <w:divBdr>
            <w:top w:val="none" w:sz="0" w:space="0" w:color="auto"/>
            <w:left w:val="none" w:sz="0" w:space="0" w:color="auto"/>
            <w:bottom w:val="none" w:sz="0" w:space="0" w:color="auto"/>
            <w:right w:val="none" w:sz="0" w:space="0" w:color="auto"/>
          </w:divBdr>
        </w:div>
        <w:div w:id="1203707606">
          <w:marLeft w:val="0"/>
          <w:marRight w:val="0"/>
          <w:marTop w:val="0"/>
          <w:marBottom w:val="0"/>
          <w:divBdr>
            <w:top w:val="none" w:sz="0" w:space="0" w:color="auto"/>
            <w:left w:val="none" w:sz="0" w:space="0" w:color="auto"/>
            <w:bottom w:val="none" w:sz="0" w:space="0" w:color="auto"/>
            <w:right w:val="none" w:sz="0" w:space="0" w:color="auto"/>
          </w:divBdr>
          <w:divsChild>
            <w:div w:id="1203707618">
              <w:marLeft w:val="0"/>
              <w:marRight w:val="0"/>
              <w:marTop w:val="0"/>
              <w:marBottom w:val="0"/>
              <w:divBdr>
                <w:top w:val="none" w:sz="0" w:space="0" w:color="auto"/>
                <w:left w:val="none" w:sz="0" w:space="0" w:color="auto"/>
                <w:bottom w:val="none" w:sz="0" w:space="0" w:color="auto"/>
                <w:right w:val="none" w:sz="0" w:space="0" w:color="auto"/>
              </w:divBdr>
              <w:divsChild>
                <w:div w:id="12037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09">
          <w:marLeft w:val="0"/>
          <w:marRight w:val="0"/>
          <w:marTop w:val="0"/>
          <w:marBottom w:val="0"/>
          <w:divBdr>
            <w:top w:val="none" w:sz="0" w:space="0" w:color="auto"/>
            <w:left w:val="none" w:sz="0" w:space="0" w:color="auto"/>
            <w:bottom w:val="none" w:sz="0" w:space="0" w:color="auto"/>
            <w:right w:val="none" w:sz="0" w:space="0" w:color="auto"/>
          </w:divBdr>
          <w:divsChild>
            <w:div w:id="1203707611">
              <w:marLeft w:val="0"/>
              <w:marRight w:val="0"/>
              <w:marTop w:val="0"/>
              <w:marBottom w:val="0"/>
              <w:divBdr>
                <w:top w:val="none" w:sz="0" w:space="0" w:color="auto"/>
                <w:left w:val="none" w:sz="0" w:space="0" w:color="auto"/>
                <w:bottom w:val="none" w:sz="0" w:space="0" w:color="auto"/>
                <w:right w:val="none" w:sz="0" w:space="0" w:color="auto"/>
              </w:divBdr>
              <w:divsChild>
                <w:div w:id="1203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10">
          <w:marLeft w:val="0"/>
          <w:marRight w:val="0"/>
          <w:marTop w:val="0"/>
          <w:marBottom w:val="0"/>
          <w:divBdr>
            <w:top w:val="none" w:sz="0" w:space="0" w:color="auto"/>
            <w:left w:val="none" w:sz="0" w:space="0" w:color="auto"/>
            <w:bottom w:val="none" w:sz="0" w:space="0" w:color="auto"/>
            <w:right w:val="none" w:sz="0" w:space="0" w:color="auto"/>
          </w:divBdr>
          <w:divsChild>
            <w:div w:id="1203707612">
              <w:marLeft w:val="0"/>
              <w:marRight w:val="0"/>
              <w:marTop w:val="0"/>
              <w:marBottom w:val="0"/>
              <w:divBdr>
                <w:top w:val="none" w:sz="0" w:space="0" w:color="auto"/>
                <w:left w:val="none" w:sz="0" w:space="0" w:color="auto"/>
                <w:bottom w:val="none" w:sz="0" w:space="0" w:color="auto"/>
                <w:right w:val="none" w:sz="0" w:space="0" w:color="auto"/>
              </w:divBdr>
              <w:divsChild>
                <w:div w:id="12037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20">
          <w:marLeft w:val="0"/>
          <w:marRight w:val="0"/>
          <w:marTop w:val="0"/>
          <w:marBottom w:val="0"/>
          <w:divBdr>
            <w:top w:val="none" w:sz="0" w:space="0" w:color="auto"/>
            <w:left w:val="none" w:sz="0" w:space="0" w:color="auto"/>
            <w:bottom w:val="none" w:sz="0" w:space="0" w:color="auto"/>
            <w:right w:val="none" w:sz="0" w:space="0" w:color="auto"/>
          </w:divBdr>
          <w:divsChild>
            <w:div w:id="1203707615">
              <w:marLeft w:val="0"/>
              <w:marRight w:val="0"/>
              <w:marTop w:val="0"/>
              <w:marBottom w:val="0"/>
              <w:divBdr>
                <w:top w:val="none" w:sz="0" w:space="0" w:color="auto"/>
                <w:left w:val="none" w:sz="0" w:space="0" w:color="auto"/>
                <w:bottom w:val="none" w:sz="0" w:space="0" w:color="auto"/>
                <w:right w:val="none" w:sz="0" w:space="0" w:color="auto"/>
              </w:divBdr>
              <w:divsChild>
                <w:div w:id="12037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21">
          <w:marLeft w:val="0"/>
          <w:marRight w:val="0"/>
          <w:marTop w:val="0"/>
          <w:marBottom w:val="0"/>
          <w:divBdr>
            <w:top w:val="none" w:sz="0" w:space="0" w:color="auto"/>
            <w:left w:val="none" w:sz="0" w:space="0" w:color="auto"/>
            <w:bottom w:val="none" w:sz="0" w:space="0" w:color="auto"/>
            <w:right w:val="none" w:sz="0" w:space="0" w:color="auto"/>
          </w:divBdr>
          <w:divsChild>
            <w:div w:id="1203707616">
              <w:marLeft w:val="0"/>
              <w:marRight w:val="0"/>
              <w:marTop w:val="0"/>
              <w:marBottom w:val="0"/>
              <w:divBdr>
                <w:top w:val="none" w:sz="0" w:space="0" w:color="auto"/>
                <w:left w:val="none" w:sz="0" w:space="0" w:color="auto"/>
                <w:bottom w:val="none" w:sz="0" w:space="0" w:color="auto"/>
                <w:right w:val="none" w:sz="0" w:space="0" w:color="auto"/>
              </w:divBdr>
              <w:divsChild>
                <w:div w:id="1203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624">
          <w:marLeft w:val="0"/>
          <w:marRight w:val="0"/>
          <w:marTop w:val="0"/>
          <w:marBottom w:val="0"/>
          <w:divBdr>
            <w:top w:val="none" w:sz="0" w:space="0" w:color="auto"/>
            <w:left w:val="none" w:sz="0" w:space="0" w:color="auto"/>
            <w:bottom w:val="none" w:sz="0" w:space="0" w:color="auto"/>
            <w:right w:val="none" w:sz="0" w:space="0" w:color="auto"/>
          </w:divBdr>
          <w:divsChild>
            <w:div w:id="1203707614">
              <w:marLeft w:val="0"/>
              <w:marRight w:val="0"/>
              <w:marTop w:val="0"/>
              <w:marBottom w:val="0"/>
              <w:divBdr>
                <w:top w:val="none" w:sz="0" w:space="0" w:color="auto"/>
                <w:left w:val="none" w:sz="0" w:space="0" w:color="auto"/>
                <w:bottom w:val="none" w:sz="0" w:space="0" w:color="auto"/>
                <w:right w:val="none" w:sz="0" w:space="0" w:color="auto"/>
              </w:divBdr>
              <w:divsChild>
                <w:div w:id="12037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2478">
      <w:bodyDiv w:val="1"/>
      <w:marLeft w:val="0"/>
      <w:marRight w:val="0"/>
      <w:marTop w:val="0"/>
      <w:marBottom w:val="0"/>
      <w:divBdr>
        <w:top w:val="none" w:sz="0" w:space="0" w:color="auto"/>
        <w:left w:val="none" w:sz="0" w:space="0" w:color="auto"/>
        <w:bottom w:val="none" w:sz="0" w:space="0" w:color="auto"/>
        <w:right w:val="none" w:sz="0" w:space="0" w:color="auto"/>
      </w:divBdr>
    </w:div>
    <w:div w:id="184590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owienia.rpo.lubel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zakonkurencyjno&#347;ci.funduszeeuropejskie.gov.pl" TargetMode="External"/><Relationship Id="rId4" Type="http://schemas.openxmlformats.org/officeDocument/2006/relationships/settings" Target="settings.xml"/><Relationship Id="rId9" Type="http://schemas.openxmlformats.org/officeDocument/2006/relationships/hyperlink" Target="http://www.zamowienia.rpo.lubels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E26D-A703-425D-BCC0-934E1436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2468</Words>
  <Characters>14814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Wykaz zmian do Regulaminu konkursu nr RPLU</vt:lpstr>
    </vt:vector>
  </TitlesOfParts>
  <Company>Hewlett-Packard Company</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zmian do Regulaminu konkursu nr RPLU</dc:title>
  <dc:creator>Beata Piątek</dc:creator>
  <cp:lastModifiedBy>Beata Niedziela</cp:lastModifiedBy>
  <cp:revision>44</cp:revision>
  <cp:lastPrinted>2017-11-22T12:08:00Z</cp:lastPrinted>
  <dcterms:created xsi:type="dcterms:W3CDTF">2017-11-06T10:20:00Z</dcterms:created>
  <dcterms:modified xsi:type="dcterms:W3CDTF">2017-12-13T11:57:00Z</dcterms:modified>
</cp:coreProperties>
</file>