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6101" w14:textId="77777777" w:rsidR="002A25D1" w:rsidRPr="00BB5379" w:rsidRDefault="002A25D1" w:rsidP="00B305C3">
      <w:pPr>
        <w:spacing w:after="0"/>
        <w:jc w:val="center"/>
        <w:rPr>
          <w:b/>
          <w:bCs/>
        </w:rPr>
      </w:pPr>
    </w:p>
    <w:tbl>
      <w:tblPr>
        <w:tblStyle w:val="Tabela-Siatka"/>
        <w:tblW w:w="5000" w:type="pct"/>
        <w:jc w:val="center"/>
        <w:tblLook w:val="01E0" w:firstRow="1" w:lastRow="1" w:firstColumn="1" w:lastColumn="1" w:noHBand="0" w:noVBand="0"/>
      </w:tblPr>
      <w:tblGrid>
        <w:gridCol w:w="486"/>
        <w:gridCol w:w="1733"/>
        <w:gridCol w:w="1341"/>
        <w:gridCol w:w="2196"/>
        <w:gridCol w:w="1735"/>
        <w:gridCol w:w="3172"/>
        <w:gridCol w:w="2601"/>
        <w:gridCol w:w="2602"/>
      </w:tblGrid>
      <w:tr w:rsidR="00493D30" w:rsidRPr="00E24605" w14:paraId="15D438E5" w14:textId="77777777" w:rsidTr="005E22FE">
        <w:trPr>
          <w:jc w:val="center"/>
        </w:trPr>
        <w:tc>
          <w:tcPr>
            <w:tcW w:w="153" w:type="pct"/>
            <w:vAlign w:val="center"/>
          </w:tcPr>
          <w:p w14:paraId="68C113FD" w14:textId="77777777" w:rsidR="00493D30" w:rsidRPr="00E24605" w:rsidRDefault="00493D30" w:rsidP="00E24605">
            <w:pPr>
              <w:spacing w:after="200" w:line="276" w:lineRule="auto"/>
              <w:rPr>
                <w:b/>
              </w:rPr>
            </w:pPr>
            <w:r w:rsidRPr="00E24605">
              <w:rPr>
                <w:b/>
              </w:rPr>
              <w:t>Lp.</w:t>
            </w:r>
          </w:p>
        </w:tc>
        <w:tc>
          <w:tcPr>
            <w:tcW w:w="545" w:type="pct"/>
            <w:vAlign w:val="center"/>
          </w:tcPr>
          <w:p w14:paraId="5228CCB1" w14:textId="77777777" w:rsidR="00493D30" w:rsidRDefault="00493D30" w:rsidP="00BB5379">
            <w:pPr>
              <w:spacing w:after="200" w:line="276" w:lineRule="auto"/>
              <w:jc w:val="center"/>
              <w:rPr>
                <w:b/>
              </w:rPr>
            </w:pPr>
            <w:r>
              <w:rPr>
                <w:b/>
              </w:rPr>
              <w:t>Podmiot zgłaszający UWAGĘ</w:t>
            </w:r>
          </w:p>
          <w:p w14:paraId="02417ED7" w14:textId="77777777" w:rsidR="00493D30" w:rsidRDefault="00493D30" w:rsidP="00BB5379">
            <w:pPr>
              <w:spacing w:after="200" w:line="276" w:lineRule="auto"/>
              <w:jc w:val="center"/>
              <w:rPr>
                <w:b/>
              </w:rPr>
            </w:pPr>
            <w:r w:rsidRPr="00996321">
              <w:rPr>
                <w:b/>
              </w:rPr>
              <w:t>(imię i nazwisko lub nazwa instytucji, adres e-mail oraz status prawny podmiotu)</w:t>
            </w:r>
          </w:p>
        </w:tc>
        <w:tc>
          <w:tcPr>
            <w:tcW w:w="423" w:type="pct"/>
            <w:vAlign w:val="center"/>
          </w:tcPr>
          <w:p w14:paraId="25ABBE19" w14:textId="77777777" w:rsidR="00493D30" w:rsidRPr="00E24605" w:rsidRDefault="00493D30" w:rsidP="00293E8C">
            <w:pPr>
              <w:spacing w:after="200" w:line="276" w:lineRule="auto"/>
              <w:rPr>
                <w:b/>
              </w:rPr>
            </w:pPr>
            <w:r>
              <w:rPr>
                <w:b/>
              </w:rPr>
              <w:t xml:space="preserve">Numer </w:t>
            </w:r>
            <w:r w:rsidRPr="00E24605">
              <w:rPr>
                <w:b/>
              </w:rPr>
              <w:t>str</w:t>
            </w:r>
            <w:r>
              <w:rPr>
                <w:b/>
              </w:rPr>
              <w:t xml:space="preserve">ony w </w:t>
            </w:r>
            <w:r w:rsidRPr="00E24605">
              <w:rPr>
                <w:b/>
              </w:rPr>
              <w:t>dokumen</w:t>
            </w:r>
            <w:r>
              <w:rPr>
                <w:b/>
              </w:rPr>
              <w:t>cie</w:t>
            </w:r>
          </w:p>
        </w:tc>
        <w:tc>
          <w:tcPr>
            <w:tcW w:w="692" w:type="pct"/>
          </w:tcPr>
          <w:p w14:paraId="48A87D35" w14:textId="77777777" w:rsidR="00493D30" w:rsidRDefault="00493D30" w:rsidP="00CF2097">
            <w:pPr>
              <w:rPr>
                <w:b/>
              </w:rPr>
            </w:pPr>
          </w:p>
          <w:p w14:paraId="02D8269C" w14:textId="77777777" w:rsidR="00493D30" w:rsidRDefault="00493D30" w:rsidP="00CF2097">
            <w:pPr>
              <w:rPr>
                <w:b/>
              </w:rPr>
            </w:pPr>
          </w:p>
          <w:p w14:paraId="394DE5AC" w14:textId="77777777" w:rsidR="00493D30" w:rsidRDefault="00493D30" w:rsidP="00CF2097">
            <w:pPr>
              <w:rPr>
                <w:b/>
              </w:rPr>
            </w:pPr>
          </w:p>
          <w:p w14:paraId="7C70B766" w14:textId="77777777" w:rsidR="00493D30" w:rsidRDefault="00493D30" w:rsidP="00CF2097">
            <w:pPr>
              <w:rPr>
                <w:b/>
              </w:rPr>
            </w:pPr>
          </w:p>
          <w:p w14:paraId="0B38B294" w14:textId="77777777" w:rsidR="00493D30" w:rsidRDefault="00493D30" w:rsidP="00CF2097">
            <w:pPr>
              <w:rPr>
                <w:b/>
              </w:rPr>
            </w:pPr>
          </w:p>
          <w:p w14:paraId="1927883F" w14:textId="77777777" w:rsidR="00493D30" w:rsidRDefault="00493D30" w:rsidP="00CF2097">
            <w:pPr>
              <w:rPr>
                <w:b/>
              </w:rPr>
            </w:pPr>
          </w:p>
          <w:p w14:paraId="1CA2A05F" w14:textId="77777777" w:rsidR="00493D30" w:rsidRDefault="00493D30" w:rsidP="00941A65">
            <w:pPr>
              <w:rPr>
                <w:b/>
              </w:rPr>
            </w:pPr>
            <w:r>
              <w:rPr>
                <w:b/>
              </w:rPr>
              <w:t>Etap oceny/Fundusz(EFRR)</w:t>
            </w:r>
          </w:p>
        </w:tc>
        <w:tc>
          <w:tcPr>
            <w:tcW w:w="547" w:type="pct"/>
            <w:vAlign w:val="center"/>
          </w:tcPr>
          <w:p w14:paraId="25EF1AEE" w14:textId="77777777" w:rsidR="00493D30" w:rsidRPr="00E24605" w:rsidRDefault="00493D30" w:rsidP="00CF2097">
            <w:pPr>
              <w:spacing w:after="200" w:line="276" w:lineRule="auto"/>
              <w:rPr>
                <w:b/>
              </w:rPr>
            </w:pPr>
            <w:r>
              <w:rPr>
                <w:b/>
              </w:rPr>
              <w:t>Nazwa kryterium</w:t>
            </w:r>
          </w:p>
        </w:tc>
        <w:tc>
          <w:tcPr>
            <w:tcW w:w="1000" w:type="pct"/>
            <w:vAlign w:val="center"/>
          </w:tcPr>
          <w:p w14:paraId="60E8DBB3" w14:textId="77777777" w:rsidR="00493D30" w:rsidRPr="00E24605" w:rsidRDefault="00493D30" w:rsidP="00E24605">
            <w:pPr>
              <w:spacing w:after="200" w:line="276" w:lineRule="auto"/>
              <w:rPr>
                <w:b/>
              </w:rPr>
            </w:pPr>
            <w:r w:rsidRPr="00E24605">
              <w:rPr>
                <w:b/>
              </w:rPr>
              <w:t>Treść UWAGI oraz proponowane nowe brzmienie zapisu</w:t>
            </w:r>
          </w:p>
        </w:tc>
        <w:tc>
          <w:tcPr>
            <w:tcW w:w="820" w:type="pct"/>
            <w:vAlign w:val="center"/>
          </w:tcPr>
          <w:p w14:paraId="6041478E" w14:textId="77777777" w:rsidR="00493D30" w:rsidRPr="00E24605" w:rsidRDefault="00493D30" w:rsidP="00E24605">
            <w:pPr>
              <w:spacing w:after="200" w:line="276" w:lineRule="auto"/>
              <w:rPr>
                <w:b/>
              </w:rPr>
            </w:pPr>
            <w:r w:rsidRPr="00E24605">
              <w:rPr>
                <w:b/>
              </w:rPr>
              <w:t>Uzasadnienie proponowanej UWAGI</w:t>
            </w:r>
          </w:p>
        </w:tc>
        <w:tc>
          <w:tcPr>
            <w:tcW w:w="820" w:type="pct"/>
          </w:tcPr>
          <w:p w14:paraId="4362F125" w14:textId="77777777" w:rsidR="00493D30" w:rsidRDefault="00493D30" w:rsidP="00E24605">
            <w:pPr>
              <w:rPr>
                <w:b/>
              </w:rPr>
            </w:pPr>
          </w:p>
          <w:p w14:paraId="45C9FB1F" w14:textId="77777777" w:rsidR="00493D30" w:rsidRDefault="00493D30" w:rsidP="00E24605">
            <w:pPr>
              <w:rPr>
                <w:b/>
              </w:rPr>
            </w:pPr>
          </w:p>
          <w:p w14:paraId="70B3B691" w14:textId="77777777" w:rsidR="00493D30" w:rsidRDefault="00493D30" w:rsidP="00E24605">
            <w:pPr>
              <w:rPr>
                <w:b/>
              </w:rPr>
            </w:pPr>
          </w:p>
          <w:p w14:paraId="396FBE81" w14:textId="77777777" w:rsidR="00493D30" w:rsidRDefault="00493D30" w:rsidP="00E24605">
            <w:pPr>
              <w:rPr>
                <w:b/>
              </w:rPr>
            </w:pPr>
          </w:p>
          <w:p w14:paraId="0EEC2F03" w14:textId="77777777" w:rsidR="00493D30" w:rsidRPr="00E24605" w:rsidRDefault="00493D30" w:rsidP="00E24605">
            <w:pPr>
              <w:rPr>
                <w:b/>
              </w:rPr>
            </w:pPr>
            <w:r>
              <w:rPr>
                <w:b/>
              </w:rPr>
              <w:t>Stanowisko DW EFRR</w:t>
            </w:r>
          </w:p>
        </w:tc>
      </w:tr>
      <w:tr w:rsidR="005E22FE" w:rsidRPr="00762149" w14:paraId="5BEB8B86" w14:textId="77777777" w:rsidTr="00762149">
        <w:trPr>
          <w:jc w:val="center"/>
        </w:trPr>
        <w:tc>
          <w:tcPr>
            <w:tcW w:w="153" w:type="pct"/>
            <w:vAlign w:val="center"/>
          </w:tcPr>
          <w:p w14:paraId="09976284" w14:textId="77777777" w:rsidR="005E22FE" w:rsidRPr="00762149" w:rsidRDefault="005E22FE" w:rsidP="00B305C3">
            <w:pPr>
              <w:spacing w:after="200" w:line="276" w:lineRule="auto"/>
              <w:rPr>
                <w:rFonts w:ascii="Times New Roman" w:hAnsi="Times New Roman" w:cs="Times New Roman"/>
                <w:b/>
              </w:rPr>
            </w:pPr>
            <w:r w:rsidRPr="00762149">
              <w:rPr>
                <w:rFonts w:ascii="Times New Roman" w:hAnsi="Times New Roman" w:cs="Times New Roman"/>
                <w:b/>
              </w:rPr>
              <w:t>1.</w:t>
            </w:r>
          </w:p>
        </w:tc>
        <w:tc>
          <w:tcPr>
            <w:tcW w:w="545" w:type="pct"/>
          </w:tcPr>
          <w:p w14:paraId="0FAB13B5"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Departament Polityki Regionalnej UMWL w Lublinie dpr@lubelskie.pl</w:t>
            </w:r>
          </w:p>
        </w:tc>
        <w:tc>
          <w:tcPr>
            <w:tcW w:w="423" w:type="pct"/>
          </w:tcPr>
          <w:p w14:paraId="311FD19C" w14:textId="77777777" w:rsidR="005E22FE" w:rsidRPr="00762149" w:rsidRDefault="005E22FE" w:rsidP="00762149">
            <w:pPr>
              <w:spacing w:after="200" w:line="276" w:lineRule="auto"/>
              <w:jc w:val="both"/>
              <w:rPr>
                <w:rFonts w:ascii="Times New Roman" w:hAnsi="Times New Roman" w:cs="Times New Roman"/>
              </w:rPr>
            </w:pPr>
            <w:r w:rsidRPr="00762149">
              <w:rPr>
                <w:rFonts w:ascii="Times New Roman" w:hAnsi="Times New Roman" w:cs="Times New Roman"/>
              </w:rPr>
              <w:t>2</w:t>
            </w:r>
          </w:p>
        </w:tc>
        <w:tc>
          <w:tcPr>
            <w:tcW w:w="692" w:type="pct"/>
          </w:tcPr>
          <w:p w14:paraId="2CB912C2"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Konsultacje społeczne propozycji kryteriów wyboru projektów w ramach Działania 6.2 </w:t>
            </w:r>
            <w:r w:rsidRPr="00762149">
              <w:rPr>
                <w:rFonts w:ascii="Times New Roman" w:hAnsi="Times New Roman" w:cs="Times New Roman"/>
                <w:i/>
                <w:iCs/>
              </w:rPr>
              <w:t>Mała retencja</w:t>
            </w:r>
          </w:p>
        </w:tc>
        <w:tc>
          <w:tcPr>
            <w:tcW w:w="547" w:type="pct"/>
          </w:tcPr>
          <w:p w14:paraId="53116216"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Projekt jest realizowany na obszarze o wyższym niż średnie ryzyko powodziowe.</w:t>
            </w:r>
          </w:p>
        </w:tc>
        <w:tc>
          <w:tcPr>
            <w:tcW w:w="1000" w:type="pct"/>
          </w:tcPr>
          <w:p w14:paraId="5CECB604"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Nazwa kryterium mówi o ryzyku – w dodatku średnim (co znaczy średnie ryzyko?), natomiast definicja odnosi się do prawdopodobieństwa wystąpienia powodzi – i to tego najniższego prawdopodobieństwa określonego w MZP.</w:t>
            </w:r>
          </w:p>
          <w:p w14:paraId="000F90FF" w14:textId="77777777" w:rsidR="005E22FE" w:rsidRPr="00762149" w:rsidRDefault="005E22FE" w:rsidP="00762149">
            <w:pPr>
              <w:jc w:val="both"/>
              <w:rPr>
                <w:rFonts w:ascii="Times New Roman" w:hAnsi="Times New Roman" w:cs="Times New Roman"/>
              </w:rPr>
            </w:pPr>
          </w:p>
          <w:p w14:paraId="703A3C6F"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Proponuje się:</w:t>
            </w:r>
          </w:p>
          <w:p w14:paraId="052D5834" w14:textId="77777777" w:rsidR="005E22FE" w:rsidRPr="00762149" w:rsidRDefault="005E22FE" w:rsidP="00762149">
            <w:pPr>
              <w:jc w:val="both"/>
              <w:rPr>
                <w:rFonts w:ascii="Times New Roman" w:hAnsi="Times New Roman" w:cs="Times New Roman"/>
              </w:rPr>
            </w:pPr>
          </w:p>
          <w:p w14:paraId="379D76F7"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u w:val="single"/>
              </w:rPr>
              <w:t>Nazwa kryterium</w:t>
            </w:r>
            <w:r w:rsidRPr="00762149">
              <w:rPr>
                <w:rFonts w:ascii="Times New Roman" w:hAnsi="Times New Roman" w:cs="Times New Roman"/>
              </w:rPr>
              <w:t xml:space="preserve"> - Projekt jest realizowany na obszarze o średnim lub wysokim prawdopodobieństwie wystąpienia powodzi.</w:t>
            </w:r>
          </w:p>
          <w:p w14:paraId="2EE9C4C9"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Definicja kryterium – (…) Kryterium uznaje się za </w:t>
            </w:r>
            <w:r w:rsidRPr="00762149">
              <w:rPr>
                <w:rFonts w:ascii="Times New Roman" w:hAnsi="Times New Roman" w:cs="Times New Roman"/>
              </w:rPr>
              <w:lastRenderedPageBreak/>
              <w:t>spełnione, jeżeli obszar projektu obejmuje co najmniej w części obszar o prawdopodobieństwie wystąpienia powodzi raz na 100 lat (Q 1% ) lub raz na 10 lat (Q 10% ) lub obszar narażony na zalanie w przypadku zniszczenia lub uszkodzenia wału przeciwpowodziowego zgodnie ze scenariuszem zawartym na mapach zagrożenia powodziowego i mapach ryzyka powodziowego (</w:t>
            </w:r>
            <w:hyperlink r:id="rId8" w:history="1">
              <w:r w:rsidRPr="00762149">
                <w:rPr>
                  <w:rStyle w:val="Hipercze"/>
                  <w:rFonts w:ascii="Times New Roman" w:hAnsi="Times New Roman" w:cs="Times New Roman"/>
                </w:rPr>
                <w:t>http://mapy.isok.gov.pl/imap/</w:t>
              </w:r>
            </w:hyperlink>
            <w:r w:rsidRPr="00762149">
              <w:rPr>
                <w:rFonts w:ascii="Times New Roman" w:hAnsi="Times New Roman" w:cs="Times New Roman"/>
              </w:rPr>
              <w:t xml:space="preserve"> ).</w:t>
            </w:r>
          </w:p>
        </w:tc>
        <w:tc>
          <w:tcPr>
            <w:tcW w:w="820" w:type="pct"/>
          </w:tcPr>
          <w:p w14:paraId="592F31CD" w14:textId="77777777" w:rsidR="005E22FE" w:rsidRPr="00762149" w:rsidRDefault="005E22FE" w:rsidP="00762149">
            <w:pPr>
              <w:spacing w:line="276" w:lineRule="auto"/>
              <w:jc w:val="both"/>
              <w:rPr>
                <w:rFonts w:ascii="Times New Roman" w:hAnsi="Times New Roman" w:cs="Times New Roman"/>
              </w:rPr>
            </w:pPr>
            <w:r w:rsidRPr="00762149">
              <w:rPr>
                <w:rFonts w:ascii="Times New Roman" w:hAnsi="Times New Roman" w:cs="Times New Roman"/>
              </w:rPr>
              <w:lastRenderedPageBreak/>
              <w:t>Wskazanym jest aby kryterium oprzeć na prawdopodobieństwie wystąpienia powodzi na danym obszarze (zgodnie z ustaleniami map zagrożenia powodziowego), jest to jasne kryterium i nie dające możliwości dowolności interpretacji w przeciwieństwie do kryterium opartego na ryzyku powodziowym (które nie jest jednoznacznie określone).</w:t>
            </w:r>
          </w:p>
          <w:p w14:paraId="02967D10" w14:textId="77777777" w:rsidR="005E22FE" w:rsidRPr="00762149" w:rsidRDefault="005E22FE" w:rsidP="00762149">
            <w:pPr>
              <w:spacing w:line="276" w:lineRule="auto"/>
              <w:jc w:val="both"/>
              <w:rPr>
                <w:rFonts w:ascii="Times New Roman" w:hAnsi="Times New Roman" w:cs="Times New Roman"/>
              </w:rPr>
            </w:pPr>
          </w:p>
          <w:p w14:paraId="62487E64" w14:textId="77777777" w:rsidR="005E22FE" w:rsidRPr="00762149" w:rsidRDefault="005E22FE" w:rsidP="00762149">
            <w:pPr>
              <w:spacing w:line="276" w:lineRule="auto"/>
              <w:jc w:val="both"/>
              <w:rPr>
                <w:rFonts w:ascii="Times New Roman" w:hAnsi="Times New Roman" w:cs="Times New Roman"/>
              </w:rPr>
            </w:pPr>
            <w:r w:rsidRPr="00762149">
              <w:rPr>
                <w:rFonts w:ascii="Times New Roman" w:hAnsi="Times New Roman" w:cs="Times New Roman"/>
              </w:rPr>
              <w:t>Mapy Zagrożenia Powodziowego (MZP) przedstawiają obszary o określonym prawdopodobieństwie wystąpienia powodzi, tj.:</w:t>
            </w:r>
          </w:p>
          <w:p w14:paraId="1225A949"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obszary, na których prawdopodobieństwo wystąpienia powodzi jest niskie i wynosi raz na 500 lat (Q 0,2%);</w:t>
            </w:r>
          </w:p>
          <w:p w14:paraId="49DC0FAA"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obszary, na których prawdopodobieństwo wystąpienia powodzi jest średnie i wynosi raz na 100 lat (Q 1%),</w:t>
            </w:r>
          </w:p>
          <w:p w14:paraId="1A51C4CD"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obszary, na których prawdopodobieństwo wystąpienia powodzi jest wysokie i wynosi raz na 10 lat (Q 10%),</w:t>
            </w:r>
          </w:p>
          <w:p w14:paraId="4DF7B05B" w14:textId="77777777" w:rsidR="005E22FE" w:rsidRPr="00762149" w:rsidRDefault="005E22FE" w:rsidP="00762149">
            <w:pPr>
              <w:ind w:left="-96"/>
              <w:jc w:val="both"/>
              <w:rPr>
                <w:rFonts w:ascii="Times New Roman" w:hAnsi="Times New Roman" w:cs="Times New Roman"/>
              </w:rPr>
            </w:pPr>
            <w:r w:rsidRPr="00762149">
              <w:rPr>
                <w:rFonts w:ascii="Times New Roman" w:hAnsi="Times New Roman" w:cs="Times New Roman"/>
              </w:rPr>
              <w:t>oraz obszary obejmujące tereny narażone na zalanie w przypadku:</w:t>
            </w:r>
          </w:p>
          <w:p w14:paraId="323582A1"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zniszczenia lub uszkodzenia wału przeciwpowodziowego lub wału przeciwsztormowego.</w:t>
            </w:r>
          </w:p>
          <w:p w14:paraId="49E11FB9" w14:textId="77777777" w:rsidR="005E22FE" w:rsidRPr="00762149" w:rsidRDefault="005E22FE" w:rsidP="00762149">
            <w:pPr>
              <w:ind w:left="-96"/>
              <w:jc w:val="both"/>
              <w:rPr>
                <w:rFonts w:ascii="Times New Roman" w:hAnsi="Times New Roman" w:cs="Times New Roman"/>
              </w:rPr>
            </w:pPr>
          </w:p>
          <w:p w14:paraId="5C8ACFC0" w14:textId="77777777" w:rsidR="005E22FE" w:rsidRPr="00762149" w:rsidRDefault="005E22FE" w:rsidP="00762149">
            <w:pPr>
              <w:ind w:left="-96"/>
              <w:jc w:val="both"/>
              <w:rPr>
                <w:rFonts w:ascii="Times New Roman" w:hAnsi="Times New Roman" w:cs="Times New Roman"/>
              </w:rPr>
            </w:pPr>
            <w:r w:rsidRPr="00762149">
              <w:rPr>
                <w:rFonts w:ascii="Times New Roman" w:hAnsi="Times New Roman" w:cs="Times New Roman"/>
              </w:rPr>
              <w:lastRenderedPageBreak/>
              <w:t>Mapy Ryzyka Powodziowego (MRP) są uzupełnieniem map zagrożenia powodziowego. Określają one wartości potencjalnych strat powodziowych oraz przedstawiające obiekty narażone na zalanie w przypadku wystąpienia powodzi o określonym prawdopodobieństwie wystąpienia. Są to obiekty, które pozwolą na ocenę ryzyka powodziowego dla zdrowia i życia ludzi, środowiska, dziedzictwa kulturowego i działalności gospodarczej, czyli grupy, dla których należy ograniczyć negatywne skutki powodzi zgodnie z celami Dyrektywy Powodziowej.</w:t>
            </w:r>
          </w:p>
          <w:p w14:paraId="5450E6E5" w14:textId="77777777" w:rsidR="005E22FE" w:rsidRPr="00762149" w:rsidRDefault="005E22FE" w:rsidP="00762149">
            <w:pPr>
              <w:ind w:left="-96"/>
              <w:jc w:val="both"/>
              <w:rPr>
                <w:rFonts w:ascii="Times New Roman" w:hAnsi="Times New Roman" w:cs="Times New Roman"/>
              </w:rPr>
            </w:pPr>
          </w:p>
          <w:p w14:paraId="3EB6B97B" w14:textId="77777777" w:rsidR="005E22FE" w:rsidRPr="00762149" w:rsidRDefault="005E22FE" w:rsidP="00762149">
            <w:pPr>
              <w:ind w:left="-96"/>
              <w:jc w:val="both"/>
              <w:rPr>
                <w:rFonts w:ascii="Times New Roman" w:hAnsi="Times New Roman" w:cs="Times New Roman"/>
              </w:rPr>
            </w:pPr>
            <w:r w:rsidRPr="00762149">
              <w:rPr>
                <w:rFonts w:ascii="Times New Roman" w:hAnsi="Times New Roman" w:cs="Times New Roman"/>
              </w:rPr>
              <w:t>MRP przedstawiają dla obszarów określonych na MZP, takie elementy jak:</w:t>
            </w:r>
          </w:p>
          <w:p w14:paraId="02F678CE"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szacunkowa liczba ludności zamieszkującej obszar zagrożony;</w:t>
            </w:r>
          </w:p>
          <w:p w14:paraId="44853780"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lastRenderedPageBreak/>
              <w:t>budynki mieszkalne oraz obiekty o szczególnym znaczeniu społecznym;</w:t>
            </w:r>
          </w:p>
          <w:p w14:paraId="45AEF9FA"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obszary i obiekty zabytkowe;</w:t>
            </w:r>
          </w:p>
          <w:p w14:paraId="64B8B972"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obszary chronione tj. ujęcia wód, strefy ochronne ujęć wody, kąpieliska, obszary ochrony przyrody;</w:t>
            </w:r>
          </w:p>
          <w:p w14:paraId="1DAF2B26"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potencjalne ogniska zanieczyszczeń wody, w przypadku wystąpienia powodzi tj. zakłady przemysłowe, oczyszczalnie ścieków, przepompownie ścieków, składowiska odpadów, cmentarze;</w:t>
            </w:r>
          </w:p>
          <w:p w14:paraId="64171763" w14:textId="77777777" w:rsidR="005E22FE" w:rsidRPr="00762149" w:rsidRDefault="005E22FE" w:rsidP="00762149">
            <w:pPr>
              <w:pStyle w:val="Akapitzlist"/>
              <w:numPr>
                <w:ilvl w:val="0"/>
                <w:numId w:val="2"/>
              </w:numPr>
              <w:ind w:left="264"/>
              <w:jc w:val="both"/>
              <w:rPr>
                <w:rFonts w:ascii="Times New Roman" w:hAnsi="Times New Roman" w:cs="Times New Roman"/>
              </w:rPr>
            </w:pPr>
            <w:r w:rsidRPr="00762149">
              <w:rPr>
                <w:rFonts w:ascii="Times New Roman" w:hAnsi="Times New Roman" w:cs="Times New Roman"/>
              </w:rPr>
              <w:t>wartości potencjalnych strat dla poszczególnych klas użytkowania terenu, tj. tereny zabudowy mieszkaniowej, tereny przemysłowe, tereny komunikacyjne, lasy, tereny rekreacyjno-wypoczynkowe, użytki rolne, wody.</w:t>
            </w:r>
          </w:p>
        </w:tc>
        <w:tc>
          <w:tcPr>
            <w:tcW w:w="820" w:type="pct"/>
          </w:tcPr>
          <w:p w14:paraId="64E90ED9"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lastRenderedPageBreak/>
              <w:t xml:space="preserve">Uwaga uwzględniona </w:t>
            </w:r>
          </w:p>
        </w:tc>
      </w:tr>
      <w:tr w:rsidR="005E22FE" w:rsidRPr="00762149" w14:paraId="1461CE1B" w14:textId="77777777" w:rsidTr="00762149">
        <w:trPr>
          <w:jc w:val="center"/>
        </w:trPr>
        <w:tc>
          <w:tcPr>
            <w:tcW w:w="153" w:type="pct"/>
            <w:vAlign w:val="center"/>
          </w:tcPr>
          <w:p w14:paraId="765474B5" w14:textId="77777777" w:rsidR="005E22FE" w:rsidRPr="00762149" w:rsidRDefault="005E22FE" w:rsidP="00B305C3">
            <w:pPr>
              <w:spacing w:after="200" w:line="276" w:lineRule="auto"/>
              <w:rPr>
                <w:rFonts w:ascii="Times New Roman" w:hAnsi="Times New Roman" w:cs="Times New Roman"/>
                <w:b/>
              </w:rPr>
            </w:pPr>
            <w:r w:rsidRPr="00762149">
              <w:rPr>
                <w:rFonts w:ascii="Times New Roman" w:hAnsi="Times New Roman" w:cs="Times New Roman"/>
                <w:b/>
              </w:rPr>
              <w:lastRenderedPageBreak/>
              <w:t>2.</w:t>
            </w:r>
          </w:p>
        </w:tc>
        <w:tc>
          <w:tcPr>
            <w:tcW w:w="545" w:type="pct"/>
          </w:tcPr>
          <w:p w14:paraId="210E4C93"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Departament Polityki Regionalnej UMWL w Lublinie dpr@lubelskie.pl</w:t>
            </w:r>
          </w:p>
        </w:tc>
        <w:tc>
          <w:tcPr>
            <w:tcW w:w="423" w:type="pct"/>
          </w:tcPr>
          <w:p w14:paraId="3C9C70F4" w14:textId="77777777" w:rsidR="005E22FE" w:rsidRPr="00762149" w:rsidRDefault="005E22FE" w:rsidP="00762149">
            <w:pPr>
              <w:spacing w:after="200" w:line="276" w:lineRule="auto"/>
              <w:jc w:val="both"/>
              <w:rPr>
                <w:rFonts w:ascii="Times New Roman" w:hAnsi="Times New Roman" w:cs="Times New Roman"/>
              </w:rPr>
            </w:pPr>
            <w:r w:rsidRPr="00762149">
              <w:rPr>
                <w:rFonts w:ascii="Times New Roman" w:hAnsi="Times New Roman" w:cs="Times New Roman"/>
              </w:rPr>
              <w:t>4</w:t>
            </w:r>
          </w:p>
        </w:tc>
        <w:tc>
          <w:tcPr>
            <w:tcW w:w="692" w:type="pct"/>
          </w:tcPr>
          <w:p w14:paraId="58A61A67"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Konsultacje społeczne propozycji kryteriów wyboru projektów w ramach Działania 6.2 </w:t>
            </w:r>
            <w:r w:rsidRPr="00762149">
              <w:rPr>
                <w:rFonts w:ascii="Times New Roman" w:hAnsi="Times New Roman" w:cs="Times New Roman"/>
                <w:i/>
                <w:iCs/>
              </w:rPr>
              <w:t>Mała retencja</w:t>
            </w:r>
          </w:p>
        </w:tc>
        <w:tc>
          <w:tcPr>
            <w:tcW w:w="547" w:type="pct"/>
          </w:tcPr>
          <w:p w14:paraId="774FD27B"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Wpływ na ochronę najbardziej zagrożonych obszarów</w:t>
            </w:r>
          </w:p>
        </w:tc>
        <w:tc>
          <w:tcPr>
            <w:tcW w:w="1000" w:type="pct"/>
          </w:tcPr>
          <w:p w14:paraId="4C4ABC8F" w14:textId="229555F2" w:rsidR="005E22FE" w:rsidRPr="00762149" w:rsidRDefault="005E22FE" w:rsidP="00762149">
            <w:pPr>
              <w:jc w:val="both"/>
              <w:rPr>
                <w:rFonts w:ascii="Times New Roman" w:hAnsi="Times New Roman" w:cs="Times New Roman"/>
              </w:rPr>
            </w:pPr>
            <w:r w:rsidRPr="00762149">
              <w:rPr>
                <w:rFonts w:ascii="Times New Roman" w:hAnsi="Times New Roman" w:cs="Times New Roman"/>
              </w:rPr>
              <w:t>Proponuje się nowy zapis definicji kryterium w brzmieniu:</w:t>
            </w:r>
          </w:p>
          <w:p w14:paraId="6A3087CC"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 Kryterium premiuje przynależność miejsca realizacji projektu do obszarów o </w:t>
            </w:r>
            <w:r w:rsidRPr="00762149">
              <w:rPr>
                <w:rFonts w:ascii="Times New Roman" w:hAnsi="Times New Roman" w:cs="Times New Roman"/>
                <w:b/>
              </w:rPr>
              <w:t>wysokim prawdopodobieństwie wystąpienia powodzi</w:t>
            </w:r>
            <w:r w:rsidRPr="00762149">
              <w:rPr>
                <w:rFonts w:ascii="Times New Roman" w:hAnsi="Times New Roman" w:cs="Times New Roman"/>
              </w:rPr>
              <w:t>, szczególni obszarów, gdzie już wystąpiły powodzie w przeszłości, a obecnie zabezpieczenia przeciwpowodziowe nie funkcjonują w całości lub w części.</w:t>
            </w:r>
          </w:p>
        </w:tc>
        <w:tc>
          <w:tcPr>
            <w:tcW w:w="820" w:type="pct"/>
          </w:tcPr>
          <w:p w14:paraId="62D692BF"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Przyjęta metodyka pomiaru sugeruje, że premiowane będą projekty w zależności od prawdopodobieństwa wystąpienia powodzi na obszarze realizacji projektu (co określają MZP), a nie w zależności od skutków ewentualnych powodzi, które można określić na podstawie MRP.</w:t>
            </w:r>
          </w:p>
        </w:tc>
        <w:tc>
          <w:tcPr>
            <w:tcW w:w="820" w:type="pct"/>
          </w:tcPr>
          <w:p w14:paraId="5CC889F8" w14:textId="560EF0F7" w:rsidR="005E22FE" w:rsidRPr="00762149" w:rsidRDefault="005E22FE" w:rsidP="00762149">
            <w:pPr>
              <w:jc w:val="both"/>
              <w:rPr>
                <w:rFonts w:ascii="Times New Roman" w:hAnsi="Times New Roman" w:cs="Times New Roman"/>
              </w:rPr>
            </w:pPr>
            <w:r w:rsidRPr="00762149">
              <w:rPr>
                <w:rFonts w:ascii="Times New Roman" w:hAnsi="Times New Roman" w:cs="Times New Roman"/>
              </w:rPr>
              <w:t>Uwaga uwzględniona</w:t>
            </w:r>
          </w:p>
        </w:tc>
      </w:tr>
      <w:tr w:rsidR="005E22FE" w:rsidRPr="00762149" w14:paraId="62B3FA08" w14:textId="77777777" w:rsidTr="00762149">
        <w:trPr>
          <w:jc w:val="center"/>
        </w:trPr>
        <w:tc>
          <w:tcPr>
            <w:tcW w:w="153" w:type="pct"/>
            <w:vAlign w:val="center"/>
          </w:tcPr>
          <w:p w14:paraId="072CA194" w14:textId="77777777" w:rsidR="005E22FE" w:rsidRPr="00762149" w:rsidRDefault="005E22FE" w:rsidP="00B305C3">
            <w:pPr>
              <w:spacing w:after="200" w:line="276" w:lineRule="auto"/>
              <w:rPr>
                <w:rFonts w:ascii="Times New Roman" w:hAnsi="Times New Roman" w:cs="Times New Roman"/>
                <w:b/>
              </w:rPr>
            </w:pPr>
            <w:r w:rsidRPr="00762149">
              <w:rPr>
                <w:rFonts w:ascii="Times New Roman" w:hAnsi="Times New Roman" w:cs="Times New Roman"/>
                <w:b/>
              </w:rPr>
              <w:t>3.</w:t>
            </w:r>
          </w:p>
        </w:tc>
        <w:tc>
          <w:tcPr>
            <w:tcW w:w="545" w:type="pct"/>
          </w:tcPr>
          <w:p w14:paraId="563F4DFB"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Departament Polityki Regionalnej UMWL w Lublinie dpr@lubelskie.pl</w:t>
            </w:r>
          </w:p>
        </w:tc>
        <w:tc>
          <w:tcPr>
            <w:tcW w:w="423" w:type="pct"/>
          </w:tcPr>
          <w:p w14:paraId="559F7E42" w14:textId="77777777" w:rsidR="005E22FE" w:rsidRPr="00762149" w:rsidRDefault="005E22FE" w:rsidP="00762149">
            <w:pPr>
              <w:spacing w:after="200" w:line="276" w:lineRule="auto"/>
              <w:jc w:val="both"/>
              <w:rPr>
                <w:rFonts w:ascii="Times New Roman" w:hAnsi="Times New Roman" w:cs="Times New Roman"/>
              </w:rPr>
            </w:pPr>
            <w:r w:rsidRPr="00762149">
              <w:rPr>
                <w:rFonts w:ascii="Times New Roman" w:hAnsi="Times New Roman" w:cs="Times New Roman"/>
              </w:rPr>
              <w:t>4</w:t>
            </w:r>
          </w:p>
        </w:tc>
        <w:tc>
          <w:tcPr>
            <w:tcW w:w="692" w:type="pct"/>
          </w:tcPr>
          <w:p w14:paraId="62BB8F47"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Konsultacje społeczne propozycji kryteriów wyboru projektów w ramach Działania 6.2 </w:t>
            </w:r>
            <w:r w:rsidRPr="00762149">
              <w:rPr>
                <w:rFonts w:ascii="Times New Roman" w:hAnsi="Times New Roman" w:cs="Times New Roman"/>
                <w:i/>
                <w:iCs/>
              </w:rPr>
              <w:t>Mała retencja</w:t>
            </w:r>
          </w:p>
        </w:tc>
        <w:tc>
          <w:tcPr>
            <w:tcW w:w="547" w:type="pct"/>
          </w:tcPr>
          <w:p w14:paraId="507486CF"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Wpływ na ochronę najbardziej zagrożonych obszarów</w:t>
            </w:r>
          </w:p>
        </w:tc>
        <w:tc>
          <w:tcPr>
            <w:tcW w:w="1000" w:type="pct"/>
          </w:tcPr>
          <w:p w14:paraId="2164A23F" w14:textId="163F1B95" w:rsidR="005E22FE" w:rsidRPr="00762149" w:rsidRDefault="005E22FE" w:rsidP="00762149">
            <w:pPr>
              <w:jc w:val="both"/>
              <w:rPr>
                <w:rFonts w:ascii="Times New Roman" w:hAnsi="Times New Roman" w:cs="Times New Roman"/>
              </w:rPr>
            </w:pPr>
            <w:r w:rsidRPr="00762149">
              <w:rPr>
                <w:rFonts w:ascii="Times New Roman" w:hAnsi="Times New Roman" w:cs="Times New Roman"/>
              </w:rPr>
              <w:t>Proponuje się zmianę sposobu pomiaru, który (Zgodnie z logiką kryterium zawartą w definicji) opierałby się na kryterium zagrożenia powodziowego wg MZP.</w:t>
            </w:r>
          </w:p>
          <w:p w14:paraId="2CB105B5" w14:textId="77777777" w:rsidR="005E22FE" w:rsidRPr="00762149" w:rsidRDefault="005E22FE" w:rsidP="00762149">
            <w:pPr>
              <w:spacing w:after="200" w:line="276" w:lineRule="auto"/>
              <w:jc w:val="both"/>
              <w:rPr>
                <w:rFonts w:ascii="Times New Roman" w:hAnsi="Times New Roman" w:cs="Times New Roman"/>
              </w:rPr>
            </w:pPr>
          </w:p>
          <w:p w14:paraId="1E34BAC9" w14:textId="77777777" w:rsidR="005E22FE" w:rsidRPr="00762149" w:rsidRDefault="005E22FE" w:rsidP="00762149">
            <w:pPr>
              <w:spacing w:after="200" w:line="276" w:lineRule="auto"/>
              <w:jc w:val="both"/>
              <w:rPr>
                <w:rFonts w:ascii="Times New Roman" w:hAnsi="Times New Roman" w:cs="Times New Roman"/>
              </w:rPr>
            </w:pPr>
            <w:r w:rsidRPr="00762149">
              <w:rPr>
                <w:rFonts w:ascii="Times New Roman" w:hAnsi="Times New Roman" w:cs="Times New Roman"/>
              </w:rPr>
              <w:t>Proponuje się:</w:t>
            </w:r>
          </w:p>
          <w:p w14:paraId="67EE762D"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Projekt realizowany na obszarze, gdzie prawdopodobieństwo wystąpienia powodzi jest wysokie i wynosi raz na 10 lat (Q 10%) (zgodnie z Mapą Zagrożenia Powodziowego) – punktacja 5 pkt</w:t>
            </w:r>
          </w:p>
          <w:p w14:paraId="42388F4A" w14:textId="77777777" w:rsidR="005E22FE" w:rsidRPr="00762149" w:rsidRDefault="005E22FE" w:rsidP="00762149">
            <w:pPr>
              <w:jc w:val="both"/>
              <w:rPr>
                <w:rFonts w:ascii="Times New Roman" w:hAnsi="Times New Roman" w:cs="Times New Roman"/>
              </w:rPr>
            </w:pPr>
          </w:p>
          <w:p w14:paraId="0EDDD5CA"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lastRenderedPageBreak/>
              <w:t>Projekt realizowany na obszarze, gdzie prawdopodobieństwo wystąpienia powodzi jest średnie i wynosi raz na 100 lat (Q 1%) (zgodnie z Mapą Zagrożenia Powodziowego) – punktacja 3 pkt</w:t>
            </w:r>
          </w:p>
          <w:p w14:paraId="6F5F59EE" w14:textId="77777777" w:rsidR="005E22FE" w:rsidRPr="00762149" w:rsidRDefault="005E22FE" w:rsidP="00762149">
            <w:pPr>
              <w:jc w:val="both"/>
              <w:rPr>
                <w:rFonts w:ascii="Times New Roman" w:hAnsi="Times New Roman" w:cs="Times New Roman"/>
              </w:rPr>
            </w:pPr>
          </w:p>
          <w:p w14:paraId="3809FE77"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Projekt realizowany na obszarze, gdzie prawdopodobieństwo wystąpienia powodzi jest niskie i wynosi raz na 500 lat (Q 0,2%) (zgodnie z Mapą Zagrożenia Powodziowego) – punktacja 0 pkt</w:t>
            </w:r>
          </w:p>
          <w:p w14:paraId="7273F092" w14:textId="77777777" w:rsidR="005E22FE" w:rsidRPr="00762149" w:rsidRDefault="005E22FE" w:rsidP="00762149">
            <w:pPr>
              <w:jc w:val="both"/>
              <w:rPr>
                <w:rFonts w:ascii="Times New Roman" w:hAnsi="Times New Roman" w:cs="Times New Roman"/>
              </w:rPr>
            </w:pPr>
          </w:p>
        </w:tc>
        <w:tc>
          <w:tcPr>
            <w:tcW w:w="820" w:type="pct"/>
          </w:tcPr>
          <w:p w14:paraId="64E10CF8"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lastRenderedPageBreak/>
              <w:t xml:space="preserve">Zaproponowana metoda pomiaru została oparta na mapach pochodzących z dokumentu „Wstępna ocena ryzyka powodziowego” (WORP). Celem tego dokumentu było wstępne zidentyfikowanie obszarów narażonych na niebezpieczeństwo powodzi, czyli obszarów, na których istnieje znaczące ryzyko powodziowe lub na których wystąpienie dużego ryzyka jest prawdopodobne w oparciu </w:t>
            </w:r>
            <w:r w:rsidRPr="00762149">
              <w:rPr>
                <w:rFonts w:ascii="Times New Roman" w:hAnsi="Times New Roman" w:cs="Times New Roman"/>
              </w:rPr>
              <w:lastRenderedPageBreak/>
              <w:t>o dostępne lub łatwe do uzyskania informacje. Dokument ten posłużył do wykonania MZP i MRP, w których to mapach określono precyzyjne obszary zagrożenia powodziowego.</w:t>
            </w:r>
          </w:p>
          <w:p w14:paraId="28BB70B8" w14:textId="0E11F388" w:rsidR="005E22FE" w:rsidRPr="00762149" w:rsidRDefault="005E22FE" w:rsidP="00762149">
            <w:pPr>
              <w:jc w:val="both"/>
              <w:rPr>
                <w:rFonts w:ascii="Times New Roman" w:hAnsi="Times New Roman" w:cs="Times New Roman"/>
              </w:rPr>
            </w:pPr>
            <w:r w:rsidRPr="00762149">
              <w:rPr>
                <w:rFonts w:ascii="Times New Roman" w:hAnsi="Times New Roman" w:cs="Times New Roman"/>
              </w:rPr>
              <w:t>Ponadto obszary wyznaczone we WORP nie stanowią podstawy do planowania przestrzennego. Celem WORP nie było wyznaczenie precyzyjnego zasięgu obszarów zagrożonych powodzią, lecz wstępne ich zidentyfikowanie, w celu wyselekcjonowania rzek, które stwarzają zagrożenie powodziowe.</w:t>
            </w:r>
          </w:p>
        </w:tc>
        <w:tc>
          <w:tcPr>
            <w:tcW w:w="820" w:type="pct"/>
          </w:tcPr>
          <w:p w14:paraId="39E00887" w14:textId="61B8580F" w:rsidR="005E22FE" w:rsidRPr="00762149" w:rsidRDefault="005E22FE" w:rsidP="00762149">
            <w:pPr>
              <w:jc w:val="both"/>
              <w:rPr>
                <w:rFonts w:ascii="Times New Roman" w:hAnsi="Times New Roman" w:cs="Times New Roman"/>
              </w:rPr>
            </w:pPr>
            <w:r w:rsidRPr="00762149">
              <w:rPr>
                <w:rFonts w:ascii="Times New Roman" w:hAnsi="Times New Roman" w:cs="Times New Roman"/>
              </w:rPr>
              <w:lastRenderedPageBreak/>
              <w:t>Uwaga uwzględniona</w:t>
            </w:r>
          </w:p>
        </w:tc>
      </w:tr>
      <w:tr w:rsidR="005E22FE" w:rsidRPr="00762149" w14:paraId="3EBF719D" w14:textId="77777777" w:rsidTr="00762149">
        <w:trPr>
          <w:jc w:val="center"/>
        </w:trPr>
        <w:tc>
          <w:tcPr>
            <w:tcW w:w="153" w:type="pct"/>
            <w:vAlign w:val="center"/>
          </w:tcPr>
          <w:p w14:paraId="2D8C00B0" w14:textId="77777777" w:rsidR="005E22FE" w:rsidRPr="00762149" w:rsidRDefault="005E22FE" w:rsidP="00B305C3">
            <w:pPr>
              <w:rPr>
                <w:rFonts w:ascii="Times New Roman" w:hAnsi="Times New Roman" w:cs="Times New Roman"/>
                <w:b/>
              </w:rPr>
            </w:pPr>
            <w:bookmarkStart w:id="0" w:name="_GoBack" w:colFirst="1" w:colLast="7"/>
            <w:r w:rsidRPr="00762149">
              <w:rPr>
                <w:rFonts w:ascii="Times New Roman" w:hAnsi="Times New Roman" w:cs="Times New Roman"/>
                <w:b/>
              </w:rPr>
              <w:t>4</w:t>
            </w:r>
          </w:p>
          <w:p w14:paraId="6F033C79" w14:textId="77777777" w:rsidR="005E22FE" w:rsidRPr="00762149" w:rsidRDefault="005E22FE" w:rsidP="00B305C3">
            <w:pPr>
              <w:rPr>
                <w:rFonts w:ascii="Times New Roman" w:hAnsi="Times New Roman" w:cs="Times New Roman"/>
                <w:b/>
              </w:rPr>
            </w:pPr>
          </w:p>
        </w:tc>
        <w:tc>
          <w:tcPr>
            <w:tcW w:w="545" w:type="pct"/>
          </w:tcPr>
          <w:p w14:paraId="6A33D44F"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Departament Polityki Regionalnej UMWL w Lublinie dpr@lubelskie.pl</w:t>
            </w:r>
          </w:p>
        </w:tc>
        <w:tc>
          <w:tcPr>
            <w:tcW w:w="423" w:type="pct"/>
          </w:tcPr>
          <w:p w14:paraId="6164B955"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9</w:t>
            </w:r>
          </w:p>
        </w:tc>
        <w:tc>
          <w:tcPr>
            <w:tcW w:w="692" w:type="pct"/>
          </w:tcPr>
          <w:p w14:paraId="7026DB86"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Konsultacje społeczne propozycji kryteriów wyboru projektów w ramach Działania 6.2 </w:t>
            </w:r>
            <w:r w:rsidRPr="00762149">
              <w:rPr>
                <w:rFonts w:ascii="Times New Roman" w:hAnsi="Times New Roman" w:cs="Times New Roman"/>
                <w:i/>
                <w:iCs/>
              </w:rPr>
              <w:t>Mała retencja</w:t>
            </w:r>
          </w:p>
        </w:tc>
        <w:tc>
          <w:tcPr>
            <w:tcW w:w="547" w:type="pct"/>
          </w:tcPr>
          <w:p w14:paraId="1DC0A83B"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b/>
                <w:bCs/>
              </w:rPr>
              <w:t>Wpływ na ochronę najbardziej zagrożonych obszarów</w:t>
            </w:r>
          </w:p>
        </w:tc>
        <w:tc>
          <w:tcPr>
            <w:tcW w:w="1000" w:type="pct"/>
          </w:tcPr>
          <w:p w14:paraId="03029F5A"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Proponuje się zapis w brzmieniu: </w:t>
            </w:r>
          </w:p>
          <w:p w14:paraId="16A7F0DA"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 O rozstrzygnięciu kryterium decyduje realizacja projektu na obszarach o </w:t>
            </w:r>
            <w:r w:rsidRPr="00762149">
              <w:rPr>
                <w:rFonts w:ascii="Times New Roman" w:hAnsi="Times New Roman" w:cs="Times New Roman"/>
                <w:b/>
              </w:rPr>
              <w:t>wysokim stopniu ryzyka powodziowego</w:t>
            </w:r>
            <w:r w:rsidRPr="00762149">
              <w:rPr>
                <w:rFonts w:ascii="Times New Roman" w:hAnsi="Times New Roman" w:cs="Times New Roman"/>
              </w:rPr>
              <w:t xml:space="preserve">, szczególni obszarów, gdzie już wystąpiły powodzie w przeszłości, a obecnie zabezpieczenia przeciwpowodziowe nie </w:t>
            </w:r>
            <w:r w:rsidRPr="00762149">
              <w:rPr>
                <w:rFonts w:ascii="Times New Roman" w:hAnsi="Times New Roman" w:cs="Times New Roman"/>
              </w:rPr>
              <w:lastRenderedPageBreak/>
              <w:t>funkcjonują w całości lub w części</w:t>
            </w:r>
          </w:p>
        </w:tc>
        <w:tc>
          <w:tcPr>
            <w:tcW w:w="820" w:type="pct"/>
          </w:tcPr>
          <w:p w14:paraId="43CF94AB" w14:textId="77777777" w:rsidR="005E22FE" w:rsidRPr="00762149" w:rsidRDefault="005E22FE" w:rsidP="00762149">
            <w:pPr>
              <w:jc w:val="both"/>
              <w:rPr>
                <w:rFonts w:ascii="Times New Roman" w:hAnsi="Times New Roman" w:cs="Times New Roman"/>
                <w:i/>
              </w:rPr>
            </w:pPr>
            <w:r w:rsidRPr="00762149">
              <w:rPr>
                <w:rFonts w:ascii="Times New Roman" w:hAnsi="Times New Roman" w:cs="Times New Roman"/>
              </w:rPr>
              <w:lastRenderedPageBreak/>
              <w:t xml:space="preserve">Jeśli przewidywane efekty realizacji projektu mają odpowiadać na pytanie:  </w:t>
            </w:r>
            <w:r w:rsidRPr="00762149">
              <w:rPr>
                <w:rFonts w:ascii="Times New Roman" w:hAnsi="Times New Roman" w:cs="Times New Roman"/>
                <w:i/>
              </w:rPr>
              <w:t>W jaki stopniu projekt wpływa na ochronę najbardziej zagrożonych obszarów?</w:t>
            </w:r>
          </w:p>
          <w:p w14:paraId="0D873AD1"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to zgodnie z logiką kryterium to decydujący powinien być stopień </w:t>
            </w:r>
            <w:r w:rsidRPr="00762149">
              <w:rPr>
                <w:rFonts w:ascii="Times New Roman" w:hAnsi="Times New Roman" w:cs="Times New Roman"/>
              </w:rPr>
              <w:lastRenderedPageBreak/>
              <w:t>ryzyka powodziowego, a nie zagrożenie wystąpienia powodzi.</w:t>
            </w:r>
          </w:p>
        </w:tc>
        <w:tc>
          <w:tcPr>
            <w:tcW w:w="820" w:type="pct"/>
          </w:tcPr>
          <w:p w14:paraId="17E81D79"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lastRenderedPageBreak/>
              <w:t xml:space="preserve">Uwaga uwzględniona </w:t>
            </w:r>
          </w:p>
        </w:tc>
      </w:tr>
      <w:tr w:rsidR="005E22FE" w:rsidRPr="00762149" w14:paraId="6672D294" w14:textId="77777777" w:rsidTr="00762149">
        <w:trPr>
          <w:jc w:val="center"/>
        </w:trPr>
        <w:tc>
          <w:tcPr>
            <w:tcW w:w="153" w:type="pct"/>
            <w:vAlign w:val="center"/>
          </w:tcPr>
          <w:p w14:paraId="517678E3" w14:textId="77777777" w:rsidR="005E22FE" w:rsidRPr="00762149" w:rsidRDefault="005E22FE" w:rsidP="00B305C3">
            <w:pPr>
              <w:rPr>
                <w:rFonts w:ascii="Times New Roman" w:hAnsi="Times New Roman" w:cs="Times New Roman"/>
                <w:b/>
              </w:rPr>
            </w:pPr>
            <w:r w:rsidRPr="00762149">
              <w:rPr>
                <w:rFonts w:ascii="Times New Roman" w:hAnsi="Times New Roman" w:cs="Times New Roman"/>
                <w:b/>
              </w:rPr>
              <w:t>5.</w:t>
            </w:r>
          </w:p>
        </w:tc>
        <w:tc>
          <w:tcPr>
            <w:tcW w:w="545" w:type="pct"/>
          </w:tcPr>
          <w:p w14:paraId="49088909"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Piotr </w:t>
            </w:r>
            <w:proofErr w:type="spellStart"/>
            <w:r w:rsidRPr="00762149">
              <w:rPr>
                <w:rFonts w:ascii="Times New Roman" w:hAnsi="Times New Roman" w:cs="Times New Roman"/>
              </w:rPr>
              <w:t>Machański</w:t>
            </w:r>
            <w:proofErr w:type="spellEnd"/>
            <w:r w:rsidRPr="00762149">
              <w:rPr>
                <w:rFonts w:ascii="Times New Roman" w:hAnsi="Times New Roman" w:cs="Times New Roman"/>
              </w:rPr>
              <w:t xml:space="preserve"> MR</w:t>
            </w:r>
          </w:p>
        </w:tc>
        <w:tc>
          <w:tcPr>
            <w:tcW w:w="423" w:type="pct"/>
          </w:tcPr>
          <w:p w14:paraId="677DFFAD"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3</w:t>
            </w:r>
          </w:p>
        </w:tc>
        <w:tc>
          <w:tcPr>
            <w:tcW w:w="692" w:type="pct"/>
          </w:tcPr>
          <w:p w14:paraId="67C66EC8"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OCENA FORMALNA/EFRR</w:t>
            </w:r>
          </w:p>
        </w:tc>
        <w:tc>
          <w:tcPr>
            <w:tcW w:w="547" w:type="pct"/>
          </w:tcPr>
          <w:p w14:paraId="4294CDD1" w14:textId="77777777" w:rsidR="005E22FE" w:rsidRPr="00762149" w:rsidRDefault="005E22FE" w:rsidP="00762149">
            <w:pPr>
              <w:jc w:val="both"/>
              <w:rPr>
                <w:rFonts w:ascii="Times New Roman" w:hAnsi="Times New Roman" w:cs="Times New Roman"/>
                <w:b/>
                <w:bCs/>
              </w:rPr>
            </w:pPr>
            <w:r w:rsidRPr="00762149">
              <w:rPr>
                <w:rFonts w:ascii="Times New Roman" w:hAnsi="Times New Roman" w:cs="Times New Roman"/>
              </w:rPr>
              <w:t>Kryterium nr 8 Dla projektu posiadającego znaczący wpływ na stan lub potencjał jednolitych części wód przedstawiono wystarczające dowody na spełnienie warunków określonych w artykule 4.7 Ramowej Dyrektywy Wodnej w drugim cyklu Planów Gospodarowania Wodami w Dorzeczach</w:t>
            </w:r>
          </w:p>
        </w:tc>
        <w:tc>
          <w:tcPr>
            <w:tcW w:w="1000" w:type="pct"/>
          </w:tcPr>
          <w:p w14:paraId="61A898A0"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t xml:space="preserve">Do wyjaśnienia przez IZ RPO, że treść definicji kryterium dot. ostatniego akapitu: </w:t>
            </w:r>
            <w:r w:rsidRPr="00762149">
              <w:rPr>
                <w:rFonts w:ascii="Times New Roman" w:hAnsi="Times New Roman" w:cs="Times New Roman"/>
                <w:i/>
              </w:rPr>
              <w:t xml:space="preserve">Kryterium zostanie zweryfikowane w oparciu o listę nr 2, która jest załącznikiem nr 3 do </w:t>
            </w:r>
            <w:proofErr w:type="spellStart"/>
            <w:r w:rsidRPr="00762149">
              <w:rPr>
                <w:rFonts w:ascii="Times New Roman" w:hAnsi="Times New Roman" w:cs="Times New Roman"/>
                <w:i/>
              </w:rPr>
              <w:t>Masterplanu</w:t>
            </w:r>
            <w:proofErr w:type="spellEnd"/>
            <w:r w:rsidRPr="00762149">
              <w:rPr>
                <w:rFonts w:ascii="Times New Roman" w:hAnsi="Times New Roman" w:cs="Times New Roman"/>
                <w:i/>
              </w:rPr>
              <w:t xml:space="preserve"> dla obszaru dorzecza Wisły (Inwestycje, które mogą spowodować nieosiągnięcie dobrego stanu wód lub pogorszenie stanu/potencjału i dla których należy rozważyć́ zastosowanie odstępstwa ). </w:t>
            </w:r>
            <w:r w:rsidRPr="00762149">
              <w:rPr>
                <w:rFonts w:ascii="Times New Roman" w:hAnsi="Times New Roman" w:cs="Times New Roman"/>
              </w:rPr>
              <w:t xml:space="preserve">należy interpretować w ten sposób, iż po zatwierdzeniu </w:t>
            </w:r>
            <w:proofErr w:type="spellStart"/>
            <w:r w:rsidRPr="00762149">
              <w:rPr>
                <w:rFonts w:ascii="Times New Roman" w:hAnsi="Times New Roman" w:cs="Times New Roman"/>
              </w:rPr>
              <w:t>aPGW</w:t>
            </w:r>
            <w:proofErr w:type="spellEnd"/>
            <w:r w:rsidRPr="00762149">
              <w:rPr>
                <w:rFonts w:ascii="Times New Roman" w:hAnsi="Times New Roman" w:cs="Times New Roman"/>
              </w:rPr>
              <w:t xml:space="preserve"> dla dorzecza Wisły inwestycje będą weryfikowane w oparciu o listę nr 2, która jest załącznikiem nr 3 do </w:t>
            </w:r>
            <w:proofErr w:type="spellStart"/>
            <w:r w:rsidRPr="00762149">
              <w:rPr>
                <w:rFonts w:ascii="Times New Roman" w:hAnsi="Times New Roman" w:cs="Times New Roman"/>
              </w:rPr>
              <w:t>Masterplanu</w:t>
            </w:r>
            <w:proofErr w:type="spellEnd"/>
            <w:r w:rsidRPr="00762149">
              <w:rPr>
                <w:rFonts w:ascii="Times New Roman" w:hAnsi="Times New Roman" w:cs="Times New Roman"/>
              </w:rPr>
              <w:t xml:space="preserve"> dla obszaru dorzecza Wisły, ale o dofinansowanie będą mogły się starać tylko te przedsięwzięcia, dla których przedstawiono wystarczające dowody na spełnienie warunków określonych w artykule 4.7 Ramowej Dyrektywy Wodnej w drugim cyklu Planów </w:t>
            </w:r>
            <w:r w:rsidRPr="00762149">
              <w:rPr>
                <w:rFonts w:ascii="Times New Roman" w:hAnsi="Times New Roman" w:cs="Times New Roman"/>
              </w:rPr>
              <w:lastRenderedPageBreak/>
              <w:t>Gospodarowania Wodami w Dorzeczach.</w:t>
            </w:r>
          </w:p>
        </w:tc>
        <w:tc>
          <w:tcPr>
            <w:tcW w:w="820" w:type="pct"/>
          </w:tcPr>
          <w:p w14:paraId="1BF419D4" w14:textId="77777777" w:rsidR="005E22FE" w:rsidRPr="00762149" w:rsidRDefault="005E22FE" w:rsidP="00762149">
            <w:pPr>
              <w:jc w:val="both"/>
              <w:rPr>
                <w:rFonts w:ascii="Times New Roman" w:hAnsi="Times New Roman" w:cs="Times New Roman"/>
              </w:rPr>
            </w:pPr>
            <w:r w:rsidRPr="00762149">
              <w:rPr>
                <w:rFonts w:ascii="Times New Roman" w:hAnsi="Times New Roman" w:cs="Times New Roman"/>
              </w:rPr>
              <w:lastRenderedPageBreak/>
              <w:t>Wyjaśnienie sposobu oceny i kwalifikacji projektów.</w:t>
            </w:r>
          </w:p>
        </w:tc>
        <w:tc>
          <w:tcPr>
            <w:tcW w:w="820" w:type="pct"/>
          </w:tcPr>
          <w:p w14:paraId="13D52FF1" w14:textId="77777777" w:rsidR="005E22FE" w:rsidRDefault="005E22FE" w:rsidP="00762149">
            <w:pPr>
              <w:jc w:val="both"/>
              <w:rPr>
                <w:rFonts w:ascii="Times New Roman" w:hAnsi="Times New Roman" w:cs="Times New Roman"/>
              </w:rPr>
            </w:pPr>
            <w:r w:rsidRPr="00762149">
              <w:rPr>
                <w:rFonts w:ascii="Times New Roman" w:hAnsi="Times New Roman" w:cs="Times New Roman"/>
              </w:rPr>
              <w:t xml:space="preserve">Uwaga uwzględniona </w:t>
            </w:r>
          </w:p>
          <w:p w14:paraId="09C554EE" w14:textId="77777777" w:rsidR="00762149" w:rsidRDefault="00762149" w:rsidP="00762149">
            <w:pPr>
              <w:jc w:val="both"/>
              <w:rPr>
                <w:rFonts w:ascii="Times New Roman" w:hAnsi="Times New Roman" w:cs="Times New Roman"/>
              </w:rPr>
            </w:pPr>
          </w:p>
          <w:p w14:paraId="7E8F9C79" w14:textId="5CC42235" w:rsidR="00762149" w:rsidRPr="00762149" w:rsidRDefault="00762149" w:rsidP="00762149">
            <w:pPr>
              <w:jc w:val="both"/>
              <w:rPr>
                <w:rFonts w:ascii="Times New Roman" w:hAnsi="Times New Roman" w:cs="Times New Roman"/>
              </w:rPr>
            </w:pPr>
            <w:r>
              <w:rPr>
                <w:rFonts w:ascii="Times New Roman" w:hAnsi="Times New Roman" w:cs="Times New Roman"/>
              </w:rPr>
              <w:t xml:space="preserve">Dodano w przypisie wyjaśnienie sposobu oceny i </w:t>
            </w:r>
            <w:proofErr w:type="spellStart"/>
            <w:r>
              <w:rPr>
                <w:rFonts w:ascii="Times New Roman" w:hAnsi="Times New Roman" w:cs="Times New Roman"/>
              </w:rPr>
              <w:t>kwalifikowlaności</w:t>
            </w:r>
            <w:proofErr w:type="spellEnd"/>
            <w:r>
              <w:rPr>
                <w:rFonts w:ascii="Times New Roman" w:hAnsi="Times New Roman" w:cs="Times New Roman"/>
              </w:rPr>
              <w:t xml:space="preserve"> projektu. </w:t>
            </w:r>
          </w:p>
        </w:tc>
      </w:tr>
      <w:bookmarkEnd w:id="0"/>
    </w:tbl>
    <w:p w14:paraId="5E056516" w14:textId="77777777" w:rsidR="00B305C3" w:rsidRPr="00762149" w:rsidRDefault="00B305C3" w:rsidP="00BB5379">
      <w:pPr>
        <w:jc w:val="center"/>
        <w:rPr>
          <w:rFonts w:ascii="Times New Roman" w:hAnsi="Times New Roman" w:cs="Times New Roman"/>
          <w:b/>
        </w:rPr>
      </w:pPr>
    </w:p>
    <w:sectPr w:rsidR="00B305C3" w:rsidRPr="00762149" w:rsidSect="00BB5379">
      <w:headerReference w:type="default" r:id="rId9"/>
      <w:footerReference w:type="even" r:id="rId10"/>
      <w:footerReference w:type="default" r:id="rId11"/>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CA54" w14:textId="77777777" w:rsidR="0068678E" w:rsidRDefault="0068678E">
      <w:pPr>
        <w:spacing w:after="0" w:line="240" w:lineRule="auto"/>
      </w:pPr>
      <w:r>
        <w:separator/>
      </w:r>
    </w:p>
  </w:endnote>
  <w:endnote w:type="continuationSeparator" w:id="0">
    <w:p w14:paraId="11950E83" w14:textId="77777777" w:rsidR="0068678E" w:rsidRDefault="0068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7580" w14:textId="77777777" w:rsidR="006A58D1" w:rsidRDefault="0088619E" w:rsidP="0035044A">
    <w:pPr>
      <w:pStyle w:val="Stopka"/>
      <w:framePr w:wrap="around" w:vAnchor="text" w:hAnchor="margin" w:xAlign="center" w:y="1"/>
      <w:rPr>
        <w:rStyle w:val="Numerstrony"/>
      </w:rPr>
    </w:pPr>
    <w:r>
      <w:rPr>
        <w:rStyle w:val="Numerstrony"/>
      </w:rPr>
      <w:fldChar w:fldCharType="begin"/>
    </w:r>
    <w:r w:rsidR="00E24605">
      <w:rPr>
        <w:rStyle w:val="Numerstrony"/>
      </w:rPr>
      <w:instrText xml:space="preserve">PAGE  </w:instrText>
    </w:r>
    <w:r>
      <w:rPr>
        <w:rStyle w:val="Numerstrony"/>
      </w:rPr>
      <w:fldChar w:fldCharType="end"/>
    </w:r>
  </w:p>
  <w:p w14:paraId="447E7ABA" w14:textId="77777777" w:rsidR="006A58D1" w:rsidRDefault="006867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F481" w14:textId="64064199" w:rsidR="006A58D1" w:rsidRDefault="0088619E" w:rsidP="0035044A">
    <w:pPr>
      <w:pStyle w:val="Stopka"/>
      <w:framePr w:wrap="around" w:vAnchor="text" w:hAnchor="margin" w:xAlign="center" w:y="1"/>
      <w:rPr>
        <w:rStyle w:val="Numerstrony"/>
      </w:rPr>
    </w:pPr>
    <w:r>
      <w:rPr>
        <w:rStyle w:val="Numerstrony"/>
      </w:rPr>
      <w:fldChar w:fldCharType="begin"/>
    </w:r>
    <w:r w:rsidR="00E24605">
      <w:rPr>
        <w:rStyle w:val="Numerstrony"/>
      </w:rPr>
      <w:instrText xml:space="preserve">PAGE  </w:instrText>
    </w:r>
    <w:r>
      <w:rPr>
        <w:rStyle w:val="Numerstrony"/>
      </w:rPr>
      <w:fldChar w:fldCharType="separate"/>
    </w:r>
    <w:r w:rsidR="00762149">
      <w:rPr>
        <w:rStyle w:val="Numerstrony"/>
        <w:noProof/>
      </w:rPr>
      <w:t>7</w:t>
    </w:r>
    <w:r>
      <w:rPr>
        <w:rStyle w:val="Numerstrony"/>
      </w:rPr>
      <w:fldChar w:fldCharType="end"/>
    </w:r>
  </w:p>
  <w:p w14:paraId="4B85CAC2" w14:textId="77777777" w:rsidR="006A58D1" w:rsidRDefault="00293E8C">
    <w:pPr>
      <w:pStyle w:val="Stopka"/>
    </w:pPr>
    <w:r>
      <w:rPr>
        <w:noProof/>
      </w:rPr>
      <w:drawing>
        <wp:anchor distT="0" distB="0" distL="114300" distR="114300" simplePos="0" relativeHeight="251659264" behindDoc="1" locked="0" layoutInCell="1" allowOverlap="1" wp14:anchorId="7F02414D" wp14:editId="14901F63">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10B6" w14:textId="77777777" w:rsidR="0068678E" w:rsidRDefault="0068678E">
      <w:pPr>
        <w:spacing w:after="0" w:line="240" w:lineRule="auto"/>
      </w:pPr>
      <w:r>
        <w:separator/>
      </w:r>
    </w:p>
  </w:footnote>
  <w:footnote w:type="continuationSeparator" w:id="0">
    <w:p w14:paraId="6114AA9B" w14:textId="77777777" w:rsidR="0068678E" w:rsidRDefault="0068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8EFC" w14:textId="77777777" w:rsidR="00293E8C" w:rsidRDefault="00625854" w:rsidP="00293E8C">
    <w:pPr>
      <w:pStyle w:val="Nagwek"/>
      <w:jc w:val="center"/>
    </w:pPr>
    <w:r>
      <w:rPr>
        <w:noProof/>
      </w:rPr>
      <w:drawing>
        <wp:inline distT="0" distB="0" distL="0" distR="0" wp14:anchorId="1929C3A0" wp14:editId="724292AF">
          <wp:extent cx="5972810" cy="1105535"/>
          <wp:effectExtent l="0" t="0" r="8890" b="0"/>
          <wp:docPr id="3" name="Obraz 2" descr="EFSiI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EFSiI kolor.jpg"/>
                  <pic:cNvPicPr>
                    <a:picLocks noChangeAspect="1"/>
                  </pic:cNvPicPr>
                </pic:nvPicPr>
                <pic:blipFill>
                  <a:blip r:embed="rId1" cstate="print"/>
                  <a:stretch>
                    <a:fillRect/>
                  </a:stretch>
                </pic:blipFill>
                <pic:spPr>
                  <a:xfrm>
                    <a:off x="0" y="0"/>
                    <a:ext cx="5972810" cy="1105535"/>
                  </a:xfrm>
                  <a:prstGeom prst="rect">
                    <a:avLst/>
                  </a:prstGeom>
                </pic:spPr>
              </pic:pic>
            </a:graphicData>
          </a:graphic>
        </wp:inline>
      </w:drawing>
    </w:r>
  </w:p>
  <w:p w14:paraId="08445927" w14:textId="77777777" w:rsidR="00293E8C" w:rsidRPr="00293E8C" w:rsidRDefault="00493D30" w:rsidP="00625854">
    <w:pPr>
      <w:pStyle w:val="Nagwek"/>
      <w:jc w:val="center"/>
      <w:rPr>
        <w:b/>
        <w:sz w:val="28"/>
      </w:rPr>
    </w:pPr>
    <w:r>
      <w:rPr>
        <w:b/>
        <w:sz w:val="28"/>
      </w:rPr>
      <w:t xml:space="preserve">WYNIKI </w:t>
    </w:r>
    <w:r w:rsidRPr="00293E8C">
      <w:rPr>
        <w:b/>
        <w:sz w:val="28"/>
      </w:rPr>
      <w:t>KONSULTACJ</w:t>
    </w:r>
    <w:r>
      <w:rPr>
        <w:b/>
        <w:sz w:val="28"/>
      </w:rPr>
      <w:t>I</w:t>
    </w:r>
    <w:r w:rsidRPr="00293E8C">
      <w:rPr>
        <w:b/>
        <w:sz w:val="28"/>
      </w:rPr>
      <w:t xml:space="preserve"> SPOŁECZN</w:t>
    </w:r>
    <w:r>
      <w:rPr>
        <w:b/>
        <w:sz w:val="28"/>
      </w:rPr>
      <w:t>YCH -</w:t>
    </w:r>
    <w:r w:rsidRPr="00293E8C">
      <w:rPr>
        <w:b/>
        <w:sz w:val="28"/>
      </w:rPr>
      <w:t xml:space="preserve"> </w:t>
    </w:r>
    <w:r>
      <w:rPr>
        <w:b/>
        <w:sz w:val="28"/>
      </w:rPr>
      <w:t xml:space="preserve">KRYTERIA WYBORU PROJEKTÓW </w:t>
    </w:r>
    <w:r w:rsidRPr="00293E8C">
      <w:rPr>
        <w:b/>
        <w:sz w:val="28"/>
      </w:rPr>
      <w:t xml:space="preserve">RPO WL 2014 </w:t>
    </w:r>
    <w:r>
      <w:rPr>
        <w:b/>
        <w:sz w:val="28"/>
      </w:rPr>
      <w:t>–</w:t>
    </w:r>
    <w:r w:rsidRPr="00293E8C">
      <w:rPr>
        <w:b/>
        <w:sz w:val="28"/>
      </w:rPr>
      <w:t xml:space="preserve"> 2020</w:t>
    </w:r>
    <w:r w:rsidR="00625854">
      <w:rPr>
        <w:b/>
        <w:sz w:val="28"/>
      </w:rPr>
      <w:br/>
    </w:r>
    <w:r w:rsidR="00F719F8">
      <w:rPr>
        <w:b/>
        <w:sz w:val="28"/>
      </w:rPr>
      <w:t>dla</w:t>
    </w:r>
    <w:r w:rsidR="00625854">
      <w:rPr>
        <w:b/>
        <w:sz w:val="28"/>
      </w:rPr>
      <w:t xml:space="preserve"> Działania</w:t>
    </w:r>
    <w:r w:rsidR="00393195">
      <w:rPr>
        <w:rFonts w:ascii="Arial" w:eastAsia="Times New Roman" w:hAnsi="Arial" w:cs="Arial"/>
        <w:b/>
        <w:color w:val="000000"/>
        <w:sz w:val="24"/>
        <w:szCs w:val="24"/>
      </w:rPr>
      <w:t xml:space="preserve"> 6.2</w:t>
    </w:r>
    <w:r w:rsidR="00625854">
      <w:rPr>
        <w:rFonts w:ascii="Arial" w:eastAsia="Times New Roman" w:hAnsi="Arial" w:cs="Arial"/>
        <w:b/>
        <w:color w:val="000000"/>
        <w:sz w:val="24"/>
        <w:szCs w:val="24"/>
      </w:rPr>
      <w:t xml:space="preserve"> </w:t>
    </w:r>
    <w:r w:rsidR="00393195">
      <w:rPr>
        <w:rFonts w:ascii="Arial" w:hAnsi="Arial" w:cs="Arial"/>
        <w:b/>
        <w:bCs/>
        <w:i/>
        <w:sz w:val="24"/>
        <w:szCs w:val="24"/>
      </w:rPr>
      <w:t>Mała retencja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064F"/>
    <w:multiLevelType w:val="hybridMultilevel"/>
    <w:tmpl w:val="02501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7D7517"/>
    <w:multiLevelType w:val="hybridMultilevel"/>
    <w:tmpl w:val="3968DA7E"/>
    <w:lvl w:ilvl="0" w:tplc="29BA08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90"/>
    <w:rsid w:val="000050DF"/>
    <w:rsid w:val="0003340C"/>
    <w:rsid w:val="000620D5"/>
    <w:rsid w:val="00063410"/>
    <w:rsid w:val="00064CCB"/>
    <w:rsid w:val="0009413C"/>
    <w:rsid w:val="000A2B45"/>
    <w:rsid w:val="000A6A26"/>
    <w:rsid w:val="000A6D89"/>
    <w:rsid w:val="000B1E29"/>
    <w:rsid w:val="000E2140"/>
    <w:rsid w:val="001007BB"/>
    <w:rsid w:val="00114CA0"/>
    <w:rsid w:val="00152E2A"/>
    <w:rsid w:val="00182141"/>
    <w:rsid w:val="001B7D05"/>
    <w:rsid w:val="001C6A06"/>
    <w:rsid w:val="001D255E"/>
    <w:rsid w:val="001F7130"/>
    <w:rsid w:val="002146BA"/>
    <w:rsid w:val="002260FD"/>
    <w:rsid w:val="0025060D"/>
    <w:rsid w:val="00256A0F"/>
    <w:rsid w:val="0027207B"/>
    <w:rsid w:val="002730A8"/>
    <w:rsid w:val="00293E8C"/>
    <w:rsid w:val="00293F5C"/>
    <w:rsid w:val="002A25D1"/>
    <w:rsid w:val="002B4581"/>
    <w:rsid w:val="002E1C08"/>
    <w:rsid w:val="002E3F6F"/>
    <w:rsid w:val="002F0E86"/>
    <w:rsid w:val="00300387"/>
    <w:rsid w:val="00311160"/>
    <w:rsid w:val="00321D13"/>
    <w:rsid w:val="0033432D"/>
    <w:rsid w:val="003663A6"/>
    <w:rsid w:val="00376340"/>
    <w:rsid w:val="00393195"/>
    <w:rsid w:val="00395002"/>
    <w:rsid w:val="003A44A0"/>
    <w:rsid w:val="003D7A65"/>
    <w:rsid w:val="003F3A69"/>
    <w:rsid w:val="004020B6"/>
    <w:rsid w:val="00435915"/>
    <w:rsid w:val="00452FD9"/>
    <w:rsid w:val="00475290"/>
    <w:rsid w:val="00480590"/>
    <w:rsid w:val="004873F3"/>
    <w:rsid w:val="00493D30"/>
    <w:rsid w:val="004A3DC8"/>
    <w:rsid w:val="004C0ADC"/>
    <w:rsid w:val="004E182F"/>
    <w:rsid w:val="00511C16"/>
    <w:rsid w:val="005473CA"/>
    <w:rsid w:val="00592D5E"/>
    <w:rsid w:val="005A780B"/>
    <w:rsid w:val="005C6350"/>
    <w:rsid w:val="005E22FE"/>
    <w:rsid w:val="00625854"/>
    <w:rsid w:val="006264AC"/>
    <w:rsid w:val="0066778C"/>
    <w:rsid w:val="0068678E"/>
    <w:rsid w:val="006E66E7"/>
    <w:rsid w:val="006F688F"/>
    <w:rsid w:val="00700C19"/>
    <w:rsid w:val="007133BD"/>
    <w:rsid w:val="00762149"/>
    <w:rsid w:val="007A3E2B"/>
    <w:rsid w:val="007C23BD"/>
    <w:rsid w:val="007D586F"/>
    <w:rsid w:val="007D7DFC"/>
    <w:rsid w:val="007E2E32"/>
    <w:rsid w:val="0082545F"/>
    <w:rsid w:val="008461FC"/>
    <w:rsid w:val="008562C7"/>
    <w:rsid w:val="00866B8E"/>
    <w:rsid w:val="0088619E"/>
    <w:rsid w:val="0089717B"/>
    <w:rsid w:val="008B2186"/>
    <w:rsid w:val="008B3118"/>
    <w:rsid w:val="00941A65"/>
    <w:rsid w:val="00996321"/>
    <w:rsid w:val="00A130B1"/>
    <w:rsid w:val="00A15146"/>
    <w:rsid w:val="00A338DD"/>
    <w:rsid w:val="00A87497"/>
    <w:rsid w:val="00AA74E6"/>
    <w:rsid w:val="00AC6126"/>
    <w:rsid w:val="00AD2B26"/>
    <w:rsid w:val="00AE0076"/>
    <w:rsid w:val="00B305C3"/>
    <w:rsid w:val="00B42059"/>
    <w:rsid w:val="00B43F57"/>
    <w:rsid w:val="00B4557B"/>
    <w:rsid w:val="00BB5379"/>
    <w:rsid w:val="00BD4C40"/>
    <w:rsid w:val="00BD717C"/>
    <w:rsid w:val="00BF102D"/>
    <w:rsid w:val="00C00C32"/>
    <w:rsid w:val="00C16443"/>
    <w:rsid w:val="00C21809"/>
    <w:rsid w:val="00C30AAF"/>
    <w:rsid w:val="00C535F5"/>
    <w:rsid w:val="00C731B0"/>
    <w:rsid w:val="00C8448A"/>
    <w:rsid w:val="00CE3873"/>
    <w:rsid w:val="00CF1BDF"/>
    <w:rsid w:val="00CF2097"/>
    <w:rsid w:val="00D03CB5"/>
    <w:rsid w:val="00D34AE0"/>
    <w:rsid w:val="00D52A05"/>
    <w:rsid w:val="00DA60E2"/>
    <w:rsid w:val="00DB181B"/>
    <w:rsid w:val="00DC582D"/>
    <w:rsid w:val="00DD5CDB"/>
    <w:rsid w:val="00E24605"/>
    <w:rsid w:val="00E53A8D"/>
    <w:rsid w:val="00EB1ACB"/>
    <w:rsid w:val="00F00828"/>
    <w:rsid w:val="00F510F1"/>
    <w:rsid w:val="00F64597"/>
    <w:rsid w:val="00F719F8"/>
    <w:rsid w:val="00F84334"/>
    <w:rsid w:val="00FA4694"/>
    <w:rsid w:val="00FC7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6373"/>
  <w15:docId w15:val="{2E8B474C-A465-4A00-BA43-69C0DB7B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605"/>
  </w:style>
  <w:style w:type="table" w:styleId="Tabela-Siatka">
    <w:name w:val="Table Grid"/>
    <w:basedOn w:val="Standardowy"/>
    <w:uiPriority w:val="59"/>
    <w:rsid w:val="00E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E24605"/>
    <w:rPr>
      <w:rFonts w:ascii="Tahoma" w:hAnsi="Tahoma"/>
      <w:sz w:val="16"/>
    </w:rPr>
  </w:style>
  <w:style w:type="paragraph" w:styleId="Akapitzlist">
    <w:name w:val="List Paragraph"/>
    <w:basedOn w:val="Normalny"/>
    <w:uiPriority w:val="34"/>
    <w:qFormat/>
    <w:rsid w:val="002A25D1"/>
    <w:pPr>
      <w:ind w:left="720"/>
      <w:contextualSpacing/>
    </w:pPr>
  </w:style>
  <w:style w:type="paragraph" w:styleId="Nagwek">
    <w:name w:val="header"/>
    <w:basedOn w:val="Normalny"/>
    <w:link w:val="NagwekZnak"/>
    <w:uiPriority w:val="99"/>
    <w:unhideWhenUsed/>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E8C"/>
  </w:style>
  <w:style w:type="paragraph" w:styleId="Tekstdymka">
    <w:name w:val="Balloon Text"/>
    <w:basedOn w:val="Normalny"/>
    <w:link w:val="TekstdymkaZnak"/>
    <w:uiPriority w:val="99"/>
    <w:semiHidden/>
    <w:unhideWhenUsed/>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E8C"/>
    <w:rPr>
      <w:rFonts w:ascii="Tahoma" w:hAnsi="Tahoma" w:cs="Tahoma"/>
      <w:sz w:val="16"/>
      <w:szCs w:val="16"/>
    </w:rPr>
  </w:style>
  <w:style w:type="character" w:styleId="Hipercze">
    <w:name w:val="Hyperlink"/>
    <w:basedOn w:val="Domylnaczcionkaakapitu"/>
    <w:uiPriority w:val="99"/>
    <w:unhideWhenUsed/>
    <w:rsid w:val="00BB5379"/>
    <w:rPr>
      <w:color w:val="0000FF" w:themeColor="hyperlink"/>
      <w:u w:val="single"/>
    </w:rPr>
  </w:style>
  <w:style w:type="paragraph" w:styleId="Tekstprzypisudolnego">
    <w:name w:val="footnote text"/>
    <w:basedOn w:val="Normalny"/>
    <w:link w:val="TekstprzypisudolnegoZnak"/>
    <w:unhideWhenUsed/>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rsid w:val="00B305C3"/>
    <w:rPr>
      <w:sz w:val="20"/>
      <w:szCs w:val="20"/>
    </w:rPr>
  </w:style>
  <w:style w:type="character" w:styleId="Odwoanieprzypisudolnego">
    <w:name w:val="footnote reference"/>
    <w:basedOn w:val="Domylnaczcionkaakapitu"/>
    <w:unhideWhenUsed/>
    <w:rsid w:val="00B305C3"/>
    <w:rPr>
      <w:vertAlign w:val="superscript"/>
    </w:rPr>
  </w:style>
  <w:style w:type="character" w:styleId="Odwoaniedokomentarza">
    <w:name w:val="annotation reference"/>
    <w:uiPriority w:val="99"/>
    <w:semiHidden/>
    <w:unhideWhenUsed/>
    <w:rsid w:val="00D03CB5"/>
    <w:rPr>
      <w:sz w:val="16"/>
      <w:szCs w:val="16"/>
    </w:rPr>
  </w:style>
  <w:style w:type="paragraph" w:styleId="Tekstkomentarza">
    <w:name w:val="annotation text"/>
    <w:basedOn w:val="Normalny"/>
    <w:link w:val="TekstkomentarzaZnak"/>
    <w:uiPriority w:val="99"/>
    <w:unhideWhenUsed/>
    <w:rsid w:val="00D03CB5"/>
    <w:pPr>
      <w:spacing w:after="0" w:line="240" w:lineRule="auto"/>
      <w:jc w:val="both"/>
    </w:pPr>
    <w:rPr>
      <w:rFonts w:ascii="Calibri" w:eastAsia="Calibri" w:hAnsi="Calibri" w:cs="Times New Roman"/>
      <w:sz w:val="20"/>
      <w:szCs w:val="20"/>
      <w:lang w:val="en-US" w:eastAsia="en-US"/>
    </w:rPr>
  </w:style>
  <w:style w:type="character" w:customStyle="1" w:styleId="TekstkomentarzaZnak">
    <w:name w:val="Tekst komentarza Znak"/>
    <w:basedOn w:val="Domylnaczcionkaakapitu"/>
    <w:link w:val="Tekstkomentarza"/>
    <w:uiPriority w:val="99"/>
    <w:rsid w:val="00D03CB5"/>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1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y.isok.gov.pl/i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ADB2-8004-432C-8F41-A818F6AD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1172</Words>
  <Characters>7036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OSR</cp:lastModifiedBy>
  <cp:revision>2</cp:revision>
  <cp:lastPrinted>2016-09-27T06:26:00Z</cp:lastPrinted>
  <dcterms:created xsi:type="dcterms:W3CDTF">2016-09-27T07:04:00Z</dcterms:created>
  <dcterms:modified xsi:type="dcterms:W3CDTF">2016-09-27T07:04:00Z</dcterms:modified>
</cp:coreProperties>
</file>